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cs="华文中宋"/>
          <w:kern w:val="0"/>
          <w:sz w:val="30"/>
          <w:szCs w:val="30"/>
        </w:rPr>
      </w:pPr>
      <w:r>
        <w:rPr>
          <w:rFonts w:hint="eastAsia" w:ascii="华文中宋" w:hAnsi="华文中宋" w:eastAsia="华文中宋" w:cs="华文中宋"/>
          <w:kern w:val="0"/>
          <w:sz w:val="30"/>
          <w:szCs w:val="30"/>
        </w:rPr>
        <w:t>《化妆品用原料 铁皮石斛茎提取物》团体标准编制说明</w:t>
      </w:r>
    </w:p>
    <w:p>
      <w:pPr>
        <w:rPr>
          <w:rFonts w:hint="eastAsia"/>
        </w:rPr>
      </w:pPr>
    </w:p>
    <w:p>
      <w:pPr>
        <w:pStyle w:val="17"/>
        <w:tabs>
          <w:tab w:val="left" w:pos="1276"/>
        </w:tabs>
        <w:spacing w:line="360" w:lineRule="auto"/>
        <w:ind w:firstLine="0" w:firstLineChars="0"/>
        <w:rPr>
          <w:rFonts w:ascii="华文中宋" w:hAnsi="华文中宋" w:eastAsia="华文中宋" w:cs="华文中宋"/>
          <w:sz w:val="24"/>
          <w:szCs w:val="24"/>
        </w:rPr>
      </w:pPr>
      <w:r>
        <w:rPr>
          <w:rFonts w:hint="eastAsia" w:ascii="华文中宋" w:hAnsi="华文中宋" w:eastAsia="华文中宋" w:cs="华文中宋"/>
          <w:sz w:val="24"/>
          <w:szCs w:val="24"/>
        </w:rPr>
        <w:t>一、标准起草的基本情况（包括简要的起草过程、主要起草单位、起草人等）</w:t>
      </w:r>
    </w:p>
    <w:p>
      <w:pPr>
        <w:pStyle w:val="8"/>
        <w:shd w:val="clear" w:color="auto" w:fill="FFFFFF"/>
        <w:spacing w:before="0" w:beforeAutospacing="0" w:after="0" w:afterAutospacing="0" w:line="360" w:lineRule="auto"/>
        <w:ind w:firstLine="480" w:firstLineChars="200"/>
        <w:jc w:val="both"/>
        <w:rPr>
          <w:rFonts w:ascii="仿宋" w:hAnsi="仿宋" w:eastAsia="仿宋" w:cs="仿宋"/>
        </w:rPr>
      </w:pPr>
      <w:r>
        <w:rPr>
          <w:rFonts w:hint="eastAsia" w:ascii="仿宋" w:hAnsi="仿宋" w:eastAsia="仿宋" w:cs="仿宋"/>
        </w:rPr>
        <w:t>铁皮石斛是兰科草本植物，</w:t>
      </w:r>
      <w:r>
        <w:rPr>
          <w:rFonts w:ascii="仿宋" w:hAnsi="仿宋" w:eastAsia="仿宋" w:cs="仿宋"/>
        </w:rPr>
        <w:t>主要集中分布在南部及西南地区，主要有云南、贵州、广西、广东</w:t>
      </w:r>
      <w:r>
        <w:rPr>
          <w:rFonts w:hint="eastAsia" w:ascii="仿宋" w:hAnsi="仿宋" w:eastAsia="仿宋" w:cs="仿宋"/>
        </w:rPr>
        <w:t>、贵州</w:t>
      </w:r>
      <w:r>
        <w:rPr>
          <w:rFonts w:ascii="仿宋" w:hAnsi="仿宋" w:eastAsia="仿宋" w:cs="仿宋"/>
        </w:rPr>
        <w:t>等</w:t>
      </w:r>
      <w:r>
        <w:rPr>
          <w:rFonts w:hint="eastAsia" w:ascii="仿宋" w:hAnsi="仿宋" w:eastAsia="仿宋" w:cs="仿宋"/>
        </w:rPr>
        <w:t>地。据文献报道铁皮石斛中的石斛多糖具有显著的保湿、滋润及抗氧化功效，因此石斛多糖的含量多少决定了铁皮石斛的护肤效果。在最新发布的《已使用化妆品原料名称目录》（2</w:t>
      </w:r>
      <w:r>
        <w:rPr>
          <w:rFonts w:ascii="仿宋" w:hAnsi="仿宋" w:eastAsia="仿宋" w:cs="仿宋"/>
        </w:rPr>
        <w:t>015</w:t>
      </w:r>
      <w:r>
        <w:rPr>
          <w:rFonts w:hint="eastAsia" w:ascii="仿宋" w:hAnsi="仿宋" w:eastAsia="仿宋" w:cs="仿宋"/>
        </w:rPr>
        <w:t>版）中收录了铁皮石斛（</w:t>
      </w:r>
      <w:r>
        <w:rPr>
          <w:rFonts w:ascii="仿宋" w:hAnsi="仿宋" w:eastAsia="仿宋" w:cs="仿宋"/>
        </w:rPr>
        <w:t>Dendrobium Candidum</w:t>
      </w:r>
      <w:r>
        <w:rPr>
          <w:rFonts w:hint="eastAsia" w:ascii="仿宋" w:hAnsi="仿宋" w:eastAsia="仿宋" w:cs="仿宋"/>
        </w:rPr>
        <w:t>）茎提取物，与《中华人民共和国药典》（2</w:t>
      </w:r>
      <w:r>
        <w:rPr>
          <w:rFonts w:ascii="仿宋" w:hAnsi="仿宋" w:eastAsia="仿宋" w:cs="仿宋"/>
        </w:rPr>
        <w:t>015</w:t>
      </w:r>
      <w:r>
        <w:rPr>
          <w:rFonts w:hint="eastAsia" w:ascii="仿宋" w:hAnsi="仿宋" w:eastAsia="仿宋" w:cs="仿宋"/>
        </w:rPr>
        <w:t>版）一部记载的</w:t>
      </w:r>
      <w:r>
        <w:rPr>
          <w:rFonts w:ascii="仿宋" w:hAnsi="仿宋" w:eastAsia="仿宋" w:cs="仿宋"/>
        </w:rPr>
        <w:t>铁皮石斛</w:t>
      </w:r>
      <w:r>
        <w:rPr>
          <w:rFonts w:hint="eastAsia" w:ascii="仿宋" w:hAnsi="仿宋" w:eastAsia="仿宋" w:cs="仿宋"/>
        </w:rPr>
        <w:t>为铁皮石斛</w:t>
      </w:r>
      <w:r>
        <w:rPr>
          <w:rFonts w:ascii="仿宋" w:hAnsi="仿宋" w:eastAsia="仿宋" w:cs="仿宋"/>
        </w:rPr>
        <w:t>的干燥茎</w:t>
      </w:r>
      <w:r>
        <w:rPr>
          <w:rFonts w:hint="eastAsia" w:ascii="仿宋" w:hAnsi="仿宋" w:eastAsia="仿宋" w:cs="仿宋"/>
        </w:rPr>
        <w:t>保持一致。</w:t>
      </w:r>
    </w:p>
    <w:p>
      <w:pPr>
        <w:pStyle w:val="8"/>
        <w:shd w:val="clear" w:color="auto" w:fill="FFFFFF"/>
        <w:spacing w:before="0" w:beforeAutospacing="0" w:after="0" w:afterAutospacing="0" w:line="360" w:lineRule="auto"/>
        <w:ind w:firstLine="480" w:firstLineChars="200"/>
        <w:jc w:val="both"/>
        <w:rPr>
          <w:rFonts w:ascii="仿宋" w:hAnsi="仿宋" w:eastAsia="仿宋" w:cs="仿宋"/>
        </w:rPr>
      </w:pPr>
      <w:r>
        <w:rPr>
          <w:rFonts w:hint="eastAsia" w:ascii="仿宋" w:hAnsi="仿宋" w:eastAsia="仿宋" w:cs="仿宋"/>
          <w:kern w:val="2"/>
        </w:rPr>
        <w:t>铁皮石斛，始载于《神农本草经》，被列为上品，具有</w:t>
      </w:r>
      <w:r>
        <w:rPr>
          <w:rFonts w:ascii="仿宋" w:hAnsi="仿宋" w:eastAsia="仿宋" w:cs="仿宋"/>
          <w:kern w:val="2"/>
        </w:rPr>
        <w:t>益胃生津，滋阴清热</w:t>
      </w:r>
      <w:r>
        <w:rPr>
          <w:rFonts w:hint="eastAsia" w:ascii="仿宋" w:hAnsi="仿宋" w:eastAsia="仿宋" w:cs="仿宋"/>
          <w:kern w:val="2"/>
        </w:rPr>
        <w:t>的作用。铁皮石斛在中国其它典籍亦有记载，</w:t>
      </w:r>
      <w:r>
        <w:rPr>
          <w:rFonts w:ascii="仿宋" w:hAnsi="仿宋" w:eastAsia="仿宋" w:cs="仿宋"/>
          <w:kern w:val="2"/>
        </w:rPr>
        <w:t>《中国药学大词典》称铁皮石斛</w:t>
      </w:r>
      <w:r>
        <w:rPr>
          <w:rFonts w:hint="eastAsia" w:ascii="仿宋" w:hAnsi="仿宋" w:eastAsia="仿宋" w:cs="仿宋"/>
          <w:kern w:val="2"/>
        </w:rPr>
        <w:t>“</w:t>
      </w:r>
      <w:r>
        <w:rPr>
          <w:rFonts w:ascii="仿宋" w:hAnsi="仿宋" w:eastAsia="仿宋" w:cs="仿宋"/>
          <w:kern w:val="2"/>
        </w:rPr>
        <w:t>专滋肺胃之气液，气液冲旺，肾水自生</w:t>
      </w:r>
      <w:r>
        <w:rPr>
          <w:rFonts w:hint="eastAsia" w:ascii="仿宋" w:hAnsi="仿宋" w:eastAsia="仿宋" w:cs="仿宋"/>
          <w:kern w:val="2"/>
        </w:rPr>
        <w:t>”；</w:t>
      </w:r>
      <w:r>
        <w:rPr>
          <w:rFonts w:ascii="仿宋" w:hAnsi="仿宋" w:eastAsia="仿宋" w:cs="仿宋"/>
          <w:kern w:val="2"/>
        </w:rPr>
        <w:t>《道藏》将石斛位居</w:t>
      </w:r>
      <w:r>
        <w:rPr>
          <w:rFonts w:hint="eastAsia" w:ascii="仿宋" w:hAnsi="仿宋" w:eastAsia="仿宋" w:cs="仿宋"/>
          <w:kern w:val="2"/>
        </w:rPr>
        <w:t>“</w:t>
      </w:r>
      <w:r>
        <w:rPr>
          <w:rFonts w:ascii="仿宋" w:hAnsi="仿宋" w:eastAsia="仿宋" w:cs="仿宋"/>
          <w:kern w:val="2"/>
        </w:rPr>
        <w:t>中华九大仙草</w:t>
      </w:r>
      <w:r>
        <w:rPr>
          <w:rFonts w:hint="eastAsia" w:ascii="仿宋" w:hAnsi="仿宋" w:eastAsia="仿宋" w:cs="仿宋"/>
          <w:kern w:val="2"/>
        </w:rPr>
        <w:t>”</w:t>
      </w:r>
      <w:r>
        <w:rPr>
          <w:rFonts w:ascii="仿宋" w:hAnsi="仿宋" w:eastAsia="仿宋" w:cs="仿宋"/>
          <w:kern w:val="2"/>
        </w:rPr>
        <w:t>之首；《神农本草经》称铁皮石斛具有</w:t>
      </w:r>
      <w:r>
        <w:rPr>
          <w:rFonts w:hint="eastAsia" w:ascii="仿宋" w:hAnsi="仿宋" w:eastAsia="仿宋" w:cs="仿宋"/>
          <w:kern w:val="2"/>
        </w:rPr>
        <w:t>“</w:t>
      </w:r>
      <w:r>
        <w:rPr>
          <w:rFonts w:ascii="仿宋" w:hAnsi="仿宋" w:eastAsia="仿宋" w:cs="仿宋"/>
          <w:kern w:val="2"/>
        </w:rPr>
        <w:t>轻身延年</w:t>
      </w:r>
      <w:r>
        <w:rPr>
          <w:rFonts w:hint="eastAsia" w:ascii="仿宋" w:hAnsi="仿宋" w:eastAsia="仿宋" w:cs="仿宋"/>
          <w:kern w:val="2"/>
        </w:rPr>
        <w:t>”</w:t>
      </w:r>
      <w:r>
        <w:rPr>
          <w:rFonts w:ascii="仿宋" w:hAnsi="仿宋" w:eastAsia="仿宋" w:cs="仿宋"/>
          <w:kern w:val="2"/>
        </w:rPr>
        <w:t>作用。</w:t>
      </w:r>
      <w:r>
        <w:rPr>
          <w:rFonts w:hint="eastAsia" w:ascii="仿宋" w:hAnsi="仿宋" w:eastAsia="仿宋" w:cs="仿宋"/>
        </w:rPr>
        <w:t>于2</w:t>
      </w:r>
      <w:r>
        <w:rPr>
          <w:rFonts w:ascii="仿宋" w:hAnsi="仿宋" w:eastAsia="仿宋" w:cs="仿宋"/>
        </w:rPr>
        <w:t>020</w:t>
      </w:r>
      <w:r>
        <w:rPr>
          <w:rFonts w:hint="eastAsia" w:ascii="仿宋" w:hAnsi="仿宋" w:eastAsia="仿宋" w:cs="仿宋"/>
        </w:rPr>
        <w:t>年1月，被国家卫生健康委员会正式纳入药食同源名单中。现代科学研究表明：铁皮石斛中首要活性成分为铁皮石斛多糖，具有抗肿瘤、抗病毒、抗衰老及抗疲劳等功效，被广泛应用于药品、功能性食品和化妆品等领域中。</w:t>
      </w:r>
    </w:p>
    <w:p>
      <w:pPr>
        <w:pStyle w:val="8"/>
        <w:shd w:val="clear" w:color="auto" w:fill="FFFFFF"/>
        <w:spacing w:before="0" w:beforeAutospacing="0" w:after="0" w:afterAutospacing="0" w:line="360" w:lineRule="auto"/>
        <w:ind w:firstLine="480" w:firstLineChars="200"/>
        <w:jc w:val="both"/>
        <w:rPr>
          <w:rFonts w:ascii="仿宋" w:hAnsi="仿宋" w:eastAsia="仿宋" w:cs="仿宋"/>
          <w:kern w:val="2"/>
        </w:rPr>
      </w:pPr>
      <w:r>
        <w:rPr>
          <w:rFonts w:hint="eastAsia" w:ascii="仿宋" w:hAnsi="仿宋" w:eastAsia="仿宋" w:cs="仿宋"/>
        </w:rPr>
        <w:t>研究表明，铁皮石斛多糖通过促进水通道蛋白A</w:t>
      </w:r>
      <w:r>
        <w:rPr>
          <w:rFonts w:ascii="仿宋" w:hAnsi="仿宋" w:eastAsia="仿宋" w:cs="仿宋"/>
        </w:rPr>
        <w:t>QP3</w:t>
      </w:r>
      <w:r>
        <w:rPr>
          <w:rFonts w:hint="eastAsia" w:ascii="仿宋" w:hAnsi="仿宋" w:eastAsia="仿宋" w:cs="仿宋"/>
        </w:rPr>
        <w:t>的表达，将肌肤中内源性的水、甘油等小分子运输进入表皮，从而直接或间接的发挥皮肤保湿功效。且有专利报道，铁皮石斛多糖具有调节时钟基因c</w:t>
      </w:r>
      <w:r>
        <w:rPr>
          <w:rFonts w:ascii="仿宋" w:hAnsi="仿宋" w:eastAsia="仿宋" w:cs="仿宋"/>
        </w:rPr>
        <w:t>lock</w:t>
      </w:r>
      <w:r>
        <w:rPr>
          <w:rFonts w:hint="eastAsia" w:ascii="仿宋" w:hAnsi="仿宋" w:eastAsia="仿宋" w:cs="仿宋"/>
        </w:rPr>
        <w:t>、bm</w:t>
      </w:r>
      <w:r>
        <w:rPr>
          <w:rFonts w:ascii="仿宋" w:hAnsi="仿宋" w:eastAsia="仿宋" w:cs="仿宋"/>
        </w:rPr>
        <w:t>a</w:t>
      </w:r>
      <w:r>
        <w:rPr>
          <w:rFonts w:hint="eastAsia" w:ascii="仿宋" w:hAnsi="仿宋" w:eastAsia="仿宋" w:cs="仿宋"/>
        </w:rPr>
        <w:t>l</w:t>
      </w:r>
      <w:r>
        <w:rPr>
          <w:rFonts w:ascii="仿宋" w:hAnsi="仿宋" w:eastAsia="仿宋" w:cs="仿宋"/>
        </w:rPr>
        <w:t>1</w:t>
      </w:r>
      <w:r>
        <w:rPr>
          <w:rFonts w:hint="eastAsia" w:ascii="仿宋" w:hAnsi="仿宋" w:eastAsia="仿宋" w:cs="仿宋"/>
        </w:rPr>
        <w:t>表达，这两个基因形成</w:t>
      </w:r>
      <w:r>
        <w:rPr>
          <w:rFonts w:ascii="仿宋" w:hAnsi="仿宋" w:eastAsia="仿宋"/>
        </w:rPr>
        <w:t>Clock/Bmal1异二聚体</w:t>
      </w:r>
      <w:r>
        <w:rPr>
          <w:rFonts w:hint="eastAsia" w:ascii="仿宋" w:hAnsi="仿宋" w:eastAsia="仿宋"/>
        </w:rPr>
        <w:t>可</w:t>
      </w:r>
      <w:r>
        <w:rPr>
          <w:rFonts w:ascii="仿宋" w:hAnsi="仿宋" w:eastAsia="仿宋"/>
        </w:rPr>
        <w:t>以</w:t>
      </w:r>
      <w:r>
        <w:rPr>
          <w:rFonts w:ascii="仿宋" w:hAnsi="仿宋" w:eastAsia="仿宋" w:cs="仿宋"/>
        </w:rPr>
        <w:t>促进Per和Cry基因的转录，而Cry与Per基因形成的异源二聚体过量时，又能抑制Bmal和C</w:t>
      </w:r>
      <w:r>
        <w:rPr>
          <w:rFonts w:hint="eastAsia" w:ascii="仿宋" w:hAnsi="仿宋" w:eastAsia="仿宋" w:cs="仿宋"/>
        </w:rPr>
        <w:t>lock</w:t>
      </w:r>
      <w:r>
        <w:rPr>
          <w:rFonts w:ascii="仿宋" w:hAnsi="仿宋" w:eastAsia="仿宋" w:cs="仿宋"/>
        </w:rPr>
        <w:t>的活性，进而形成在24小时期间波动的反馈回路</w:t>
      </w:r>
      <w:r>
        <w:rPr>
          <w:rFonts w:hint="eastAsia" w:ascii="仿宋" w:hAnsi="仿宋" w:eastAsia="仿宋" w:cs="仿宋"/>
        </w:rPr>
        <w:t>，从而使肌肤节律回归健康轨道</w:t>
      </w:r>
      <w:r>
        <w:rPr>
          <w:rFonts w:ascii="仿宋" w:hAnsi="仿宋" w:eastAsia="仿宋" w:cs="仿宋"/>
        </w:rPr>
        <w:t>。</w:t>
      </w:r>
      <w:r>
        <w:rPr>
          <w:rFonts w:hint="eastAsia" w:ascii="仿宋" w:hAnsi="仿宋" w:eastAsia="仿宋" w:cs="仿宋"/>
          <w:kern w:val="2"/>
        </w:rPr>
        <w:t>此外，铁皮石斛中中菲类、</w:t>
      </w:r>
      <w:r>
        <w:rPr>
          <w:rFonts w:ascii="仿宋" w:hAnsi="仿宋" w:eastAsia="仿宋" w:cs="Times New Roman"/>
        </w:rPr>
        <w:t>联苄</w:t>
      </w:r>
      <w:r>
        <w:rPr>
          <w:rFonts w:hint="eastAsia" w:ascii="仿宋" w:hAnsi="仿宋" w:eastAsia="仿宋" w:cs="仿宋"/>
          <w:kern w:val="2"/>
        </w:rPr>
        <w:t>成分对多种自由基具有清除作用，表明铁皮石斛可能具有一定的抗衰老作用。以上的研究结果均表明铁皮石斛在化妆品的开发和应用中具有良好的前景。</w:t>
      </w:r>
    </w:p>
    <w:p>
      <w:pPr>
        <w:pStyle w:val="8"/>
        <w:shd w:val="clear" w:color="auto" w:fill="FFFFFF"/>
        <w:spacing w:before="0" w:beforeAutospacing="0" w:after="0" w:afterAutospacing="0" w:line="360" w:lineRule="auto"/>
        <w:ind w:firstLine="480" w:firstLineChars="200"/>
        <w:jc w:val="both"/>
        <w:rPr>
          <w:rFonts w:ascii="仿宋" w:hAnsi="仿宋" w:eastAsia="仿宋" w:cs="仿宋"/>
          <w:kern w:val="2"/>
        </w:rPr>
      </w:pPr>
      <w:r>
        <w:rPr>
          <w:rFonts w:hint="eastAsia" w:ascii="仿宋" w:hAnsi="仿宋" w:eastAsia="仿宋" w:cs="仿宋"/>
          <w:kern w:val="2"/>
        </w:rPr>
        <w:t>迄今为止，化妆品行业中对于铁皮石斛茎提取物的质量控制部分仍旧一片空白。因为没有相应的行业标准，所以各企业均按照自行拟定的标准对样品进行质量控制。加之各企业技术指标差异较大，质量控制标准高低不一，使得市场上的铁皮石斛茎提取液质量较为混乱。化妆品行业标准的拟定可以规范市场现状，提高产品的质量，最终使得混乱的局面得以控制。</w:t>
      </w:r>
    </w:p>
    <w:p>
      <w:pPr>
        <w:pStyle w:val="8"/>
        <w:shd w:val="clear" w:color="auto" w:fill="FFFFFF"/>
        <w:spacing w:before="0" w:beforeAutospacing="0" w:after="0" w:afterAutospacing="0" w:line="360" w:lineRule="auto"/>
        <w:ind w:firstLine="480" w:firstLineChars="200"/>
        <w:jc w:val="both"/>
        <w:rPr>
          <w:rFonts w:ascii="仿宋" w:hAnsi="仿宋" w:eastAsia="仿宋" w:cs="仿宋"/>
          <w:kern w:val="2"/>
        </w:rPr>
      </w:pPr>
      <w:r>
        <w:rPr>
          <w:rFonts w:hint="eastAsia" w:ascii="仿宋" w:hAnsi="仿宋" w:eastAsia="仿宋" w:cs="仿宋"/>
        </w:rPr>
        <w:t>基于上述情况，拟制定《化妆品用原料 铁皮石斛（D</w:t>
      </w:r>
      <w:r>
        <w:rPr>
          <w:rFonts w:ascii="仿宋" w:hAnsi="仿宋" w:eastAsia="仿宋" w:cs="仿宋"/>
        </w:rPr>
        <w:t>endrobium Candidum</w:t>
      </w:r>
      <w:r>
        <w:rPr>
          <w:rFonts w:hint="eastAsia" w:ascii="仿宋" w:hAnsi="仿宋" w:eastAsia="仿宋" w:cs="仿宋"/>
        </w:rPr>
        <w:t>）茎提取物》团体标准，界定护肤用铁皮石斛护肤化妆品科学合理应用，活性成分石斛多糖的含量测定拟</w:t>
      </w:r>
      <w:r>
        <w:rPr>
          <w:rFonts w:hint="eastAsia" w:ascii="仿宋" w:hAnsi="仿宋" w:eastAsia="仿宋" w:cs="仿宋"/>
          <w:lang w:val="en-US" w:eastAsia="zh-CN"/>
        </w:rPr>
        <w:t>参照</w:t>
      </w:r>
      <w:r>
        <w:rPr>
          <w:rFonts w:hint="eastAsia" w:ascii="仿宋" w:hAnsi="仿宋" w:eastAsia="仿宋" w:cs="仿宋"/>
        </w:rPr>
        <w:t>《</w:t>
      </w:r>
      <w:r>
        <w:rPr>
          <w:rFonts w:hint="eastAsia" w:ascii="仿宋" w:hAnsi="仿宋" w:eastAsia="仿宋"/>
          <w:lang w:val="es-ES"/>
        </w:rPr>
        <w:t>中华人民共和国药典</w:t>
      </w:r>
      <w:r>
        <w:rPr>
          <w:rFonts w:hint="eastAsia" w:ascii="仿宋" w:hAnsi="仿宋" w:eastAsia="仿宋" w:cs="仿宋"/>
        </w:rPr>
        <w:t>》</w:t>
      </w:r>
      <w:r>
        <w:rPr>
          <w:rFonts w:ascii="仿宋" w:hAnsi="仿宋" w:eastAsia="仿宋" w:cs="仿宋"/>
          <w:kern w:val="2"/>
        </w:rPr>
        <w:t>(2015</w:t>
      </w:r>
      <w:r>
        <w:rPr>
          <w:rFonts w:hint="eastAsia" w:ascii="仿宋" w:hAnsi="仿宋" w:eastAsia="仿宋" w:cs="仿宋"/>
          <w:kern w:val="2"/>
        </w:rPr>
        <w:t>版</w:t>
      </w:r>
      <w:r>
        <w:rPr>
          <w:rFonts w:ascii="仿宋" w:hAnsi="仿宋" w:eastAsia="仿宋" w:cs="仿宋"/>
          <w:kern w:val="2"/>
        </w:rPr>
        <w:t>)</w:t>
      </w:r>
      <w:r>
        <w:rPr>
          <w:rFonts w:hint="eastAsia" w:ascii="仿宋" w:hAnsi="仿宋" w:eastAsia="仿宋" w:cs="仿宋"/>
          <w:kern w:val="2"/>
        </w:rPr>
        <w:t>一部多糖含量的测定方法（2</w:t>
      </w:r>
      <w:r>
        <w:rPr>
          <w:rFonts w:ascii="仿宋" w:hAnsi="仿宋" w:eastAsia="仿宋" w:cs="仿宋"/>
          <w:kern w:val="2"/>
        </w:rPr>
        <w:t>82</w:t>
      </w:r>
      <w:r>
        <w:rPr>
          <w:rFonts w:hint="eastAsia" w:ascii="仿宋" w:hAnsi="仿宋" w:eastAsia="仿宋" w:cs="仿宋"/>
          <w:kern w:val="2"/>
        </w:rPr>
        <w:t>页</w:t>
      </w:r>
      <w:r>
        <w:rPr>
          <w:rFonts w:ascii="仿宋" w:hAnsi="仿宋" w:eastAsia="仿宋" w:cs="仿宋"/>
          <w:kern w:val="2"/>
        </w:rPr>
        <w:t>）</w:t>
      </w:r>
      <w:r>
        <w:rPr>
          <w:rFonts w:hint="eastAsia" w:ascii="仿宋" w:hAnsi="仿宋" w:eastAsia="仿宋" w:cs="仿宋"/>
          <w:kern w:val="2"/>
          <w:lang w:val="en-US" w:eastAsia="zh-CN"/>
        </w:rPr>
        <w:t>和</w:t>
      </w:r>
      <w:r>
        <w:rPr>
          <w:rFonts w:hint="eastAsia" w:ascii="仿宋" w:hAnsi="仿宋" w:eastAsia="仿宋" w:cs="仿宋"/>
        </w:rPr>
        <w:t>《QB/T 2488-2006 化妆品用芦荟汁、粉》</w:t>
      </w:r>
      <w:r>
        <w:rPr>
          <w:rFonts w:hint="eastAsia" w:ascii="仿宋" w:hAnsi="仿宋" w:eastAsia="仿宋" w:cs="仿宋"/>
          <w:kern w:val="2"/>
        </w:rPr>
        <w:t>。该标准的建立，对化妆品用铁皮石斛茎提取物的生产、质量管理及应用，将具有很好的指导意义和借鉴价值。</w:t>
      </w:r>
    </w:p>
    <w:p>
      <w:pPr>
        <w:pStyle w:val="8"/>
        <w:shd w:val="clear" w:color="auto" w:fill="FFFFFF"/>
        <w:spacing w:before="0" w:beforeAutospacing="0" w:after="0" w:afterAutospacing="0" w:line="360" w:lineRule="auto"/>
        <w:ind w:firstLine="480" w:firstLineChars="200"/>
        <w:rPr>
          <w:rFonts w:ascii="华文中宋" w:hAnsi="华文中宋" w:eastAsia="华文中宋" w:cs="华文中宋"/>
        </w:rPr>
      </w:pPr>
      <w:r>
        <w:rPr>
          <w:rFonts w:hint="eastAsia" w:ascii="华文中宋" w:hAnsi="华文中宋" w:eastAsia="华文中宋" w:cs="华文中宋"/>
        </w:rPr>
        <w:t>1、任务来源</w:t>
      </w:r>
    </w:p>
    <w:p>
      <w:pPr>
        <w:pStyle w:val="8"/>
        <w:shd w:val="clear" w:color="auto" w:fill="FFFFFF"/>
        <w:spacing w:before="0" w:beforeAutospacing="0" w:after="0" w:afterAutospacing="0" w:line="360" w:lineRule="auto"/>
        <w:ind w:firstLine="480" w:firstLineChars="200"/>
        <w:rPr>
          <w:rFonts w:ascii="仿宋" w:hAnsi="仿宋" w:eastAsia="仿宋" w:cs="仿宋"/>
        </w:rPr>
      </w:pPr>
      <w:r>
        <w:rPr>
          <w:rFonts w:ascii="仿宋" w:hAnsi="仿宋" w:eastAsia="仿宋" w:cs="仿宋"/>
        </w:rPr>
        <w:t>2019</w:t>
      </w:r>
      <w:r>
        <w:rPr>
          <w:rFonts w:hint="eastAsia" w:ascii="仿宋" w:hAnsi="仿宋" w:eastAsia="仿宋" w:cs="仿宋"/>
        </w:rPr>
        <w:t>年</w:t>
      </w:r>
      <w:r>
        <w:rPr>
          <w:rFonts w:ascii="仿宋" w:hAnsi="仿宋" w:eastAsia="仿宋" w:cs="仿宋"/>
        </w:rPr>
        <w:t>8</w:t>
      </w:r>
      <w:r>
        <w:rPr>
          <w:rFonts w:hint="eastAsia" w:ascii="仿宋" w:hAnsi="仿宋" w:eastAsia="仿宋" w:cs="仿宋"/>
        </w:rPr>
        <w:t>月本标准经中国香料香精化妆品工业协会审议通过立项，通知见《关于</w:t>
      </w:r>
      <w:r>
        <w:rPr>
          <w:rFonts w:ascii="仿宋" w:hAnsi="仿宋" w:eastAsia="仿宋" w:cs="仿宋"/>
        </w:rPr>
        <w:t>2019</w:t>
      </w:r>
      <w:r>
        <w:rPr>
          <w:rFonts w:hint="eastAsia" w:ascii="仿宋" w:hAnsi="仿宋" w:eastAsia="仿宋" w:cs="仿宋"/>
        </w:rPr>
        <w:t>年中国香料香精化妆品工业协会团体标准（第二批）立项公示的通知》（香化协字</w:t>
      </w:r>
      <w:r>
        <w:rPr>
          <w:rFonts w:ascii="仿宋" w:hAnsi="仿宋" w:eastAsia="仿宋" w:cs="仿宋"/>
        </w:rPr>
        <w:t>[2019] 39</w:t>
      </w:r>
      <w:r>
        <w:rPr>
          <w:rFonts w:hint="eastAsia" w:ascii="仿宋" w:hAnsi="仿宋" w:eastAsia="仿宋" w:cs="仿宋"/>
        </w:rPr>
        <w:t>号）。</w:t>
      </w:r>
    </w:p>
    <w:p>
      <w:pPr>
        <w:pStyle w:val="8"/>
        <w:shd w:val="clear" w:color="auto" w:fill="FFFFFF"/>
        <w:spacing w:before="0" w:beforeAutospacing="0" w:after="0" w:afterAutospacing="0" w:line="360" w:lineRule="auto"/>
        <w:ind w:firstLine="480" w:firstLineChars="200"/>
        <w:rPr>
          <w:rFonts w:ascii="华文中宋" w:hAnsi="华文中宋" w:eastAsia="华文中宋" w:cs="华文中宋"/>
        </w:rPr>
      </w:pPr>
      <w:r>
        <w:rPr>
          <w:rFonts w:hint="eastAsia" w:ascii="华文中宋" w:hAnsi="华文中宋" w:eastAsia="华文中宋" w:cs="华文中宋"/>
        </w:rPr>
        <w:t>2、主要工作过程</w:t>
      </w:r>
    </w:p>
    <w:p>
      <w:pPr>
        <w:pStyle w:val="8"/>
        <w:shd w:val="clear" w:color="auto" w:fill="FFFFFF"/>
        <w:spacing w:before="0" w:beforeAutospacing="0" w:after="0" w:afterAutospacing="0" w:line="360" w:lineRule="auto"/>
        <w:ind w:firstLine="480" w:firstLineChars="200"/>
        <w:jc w:val="both"/>
        <w:rPr>
          <w:rFonts w:ascii="仿宋" w:hAnsi="仿宋" w:eastAsia="仿宋" w:cs="仿宋"/>
        </w:rPr>
      </w:pPr>
      <w:r>
        <w:rPr>
          <w:rFonts w:hint="eastAsia" w:ascii="仿宋" w:hAnsi="仿宋" w:eastAsia="仿宋" w:cs="仿宋"/>
        </w:rPr>
        <w:t>201</w:t>
      </w:r>
      <w:r>
        <w:rPr>
          <w:rFonts w:ascii="仿宋" w:hAnsi="仿宋" w:eastAsia="仿宋" w:cs="仿宋"/>
          <w:color w:val="auto"/>
        </w:rPr>
        <w:t>9</w:t>
      </w:r>
      <w:r>
        <w:rPr>
          <w:rFonts w:hint="eastAsia" w:ascii="仿宋" w:hAnsi="仿宋" w:eastAsia="仿宋" w:cs="仿宋"/>
          <w:color w:val="auto"/>
        </w:rPr>
        <w:t>年</w:t>
      </w:r>
      <w:r>
        <w:rPr>
          <w:rFonts w:ascii="仿宋" w:hAnsi="仿宋" w:eastAsia="仿宋" w:cs="仿宋"/>
          <w:color w:val="auto"/>
        </w:rPr>
        <w:t>8</w:t>
      </w:r>
      <w:r>
        <w:rPr>
          <w:rFonts w:hint="eastAsia" w:ascii="仿宋" w:hAnsi="仿宋" w:eastAsia="仿宋" w:cs="仿宋"/>
          <w:color w:val="auto"/>
        </w:rPr>
        <w:t>月</w:t>
      </w:r>
      <w:r>
        <w:rPr>
          <w:rFonts w:ascii="仿宋" w:hAnsi="仿宋" w:eastAsia="仿宋" w:cs="仿宋"/>
          <w:color w:val="auto"/>
        </w:rPr>
        <w:t>21</w:t>
      </w:r>
      <w:r>
        <w:rPr>
          <w:rFonts w:hint="eastAsia" w:ascii="仿宋" w:hAnsi="仿宋" w:eastAsia="仿宋" w:cs="仿宋"/>
          <w:color w:val="auto"/>
        </w:rPr>
        <w:t>日相关起</w:t>
      </w:r>
      <w:r>
        <w:rPr>
          <w:rFonts w:hint="eastAsia" w:ascii="仿宋" w:hAnsi="仿宋" w:eastAsia="仿宋" w:cs="仿宋"/>
        </w:rPr>
        <w:t>草单位北京植物医生生物科技有限公司、中国科学院昆明植物研究所、北京东方淼森生物科技有限公司、太和康美（北京）中医研究院有限公司成立标准起草小组，北京植物医生生物科技有限公司刘德海同志任组长，中国科学院昆明植物研究所胡江苗同志及北京东方淼森生物科技有限公司邱显荣同志任副组长、中国科学院昆明植物研究所杨柳同志及太和康美（北京）中医研究院有限公司刘有停、张卫红等人为组员。</w:t>
      </w:r>
    </w:p>
    <w:p>
      <w:pPr>
        <w:pStyle w:val="8"/>
        <w:shd w:val="clear" w:color="auto" w:fill="FFFFFF"/>
        <w:spacing w:before="0" w:beforeAutospacing="0" w:after="0" w:afterAutospacing="0" w:line="360" w:lineRule="auto"/>
        <w:ind w:firstLine="480" w:firstLineChars="200"/>
        <w:rPr>
          <w:rFonts w:ascii="仿宋" w:hAnsi="仿宋" w:eastAsia="仿宋" w:cs="仿宋"/>
        </w:rPr>
      </w:pPr>
      <w:r>
        <w:rPr>
          <w:rFonts w:hint="eastAsia" w:ascii="仿宋" w:hAnsi="仿宋" w:eastAsia="仿宋" w:cs="仿宋"/>
        </w:rPr>
        <w:t>广泛收集国内外铁皮石斛茎提取物的相关标准及分析测试技术资料。并进行了大量的研究分析、资料查证及方法的确认工作，编制出《化妆品用原料 铁皮石斛茎提取物》的标准工作组</w:t>
      </w:r>
      <w:r>
        <w:rPr>
          <w:rFonts w:hint="eastAsia" w:ascii="仿宋" w:hAnsi="仿宋" w:eastAsia="仿宋" w:cs="仿宋"/>
          <w:color w:val="auto"/>
        </w:rPr>
        <w:t>讨论稿。经进一步验证结合反馈的意见，对标准工作组讨论稿进行了认真的修改，于20</w:t>
      </w:r>
      <w:r>
        <w:rPr>
          <w:rFonts w:ascii="仿宋" w:hAnsi="仿宋" w:eastAsia="仿宋" w:cs="仿宋"/>
          <w:color w:val="auto"/>
        </w:rPr>
        <w:t>19</w:t>
      </w:r>
      <w:r>
        <w:rPr>
          <w:rFonts w:hint="eastAsia" w:ascii="仿宋" w:hAnsi="仿宋" w:eastAsia="仿宋" w:cs="仿宋"/>
          <w:color w:val="auto"/>
        </w:rPr>
        <w:t>年</w:t>
      </w:r>
      <w:r>
        <w:rPr>
          <w:rFonts w:ascii="仿宋" w:hAnsi="仿宋" w:eastAsia="仿宋" w:cs="仿宋"/>
          <w:color w:val="auto"/>
        </w:rPr>
        <w:t>12</w:t>
      </w:r>
      <w:r>
        <w:rPr>
          <w:rFonts w:hint="eastAsia" w:ascii="仿宋" w:hAnsi="仿宋" w:eastAsia="仿宋" w:cs="仿宋"/>
          <w:color w:val="auto"/>
        </w:rPr>
        <w:t>月</w:t>
      </w:r>
      <w:r>
        <w:rPr>
          <w:rFonts w:hint="eastAsia" w:ascii="仿宋" w:hAnsi="仿宋" w:eastAsia="仿宋" w:cs="仿宋"/>
        </w:rPr>
        <w:t>形成了标准征求意见稿，由组长审核后报中国香料香精化妆品工业协会化妆品部。</w:t>
      </w:r>
    </w:p>
    <w:p>
      <w:pPr>
        <w:pStyle w:val="8"/>
        <w:shd w:val="clear" w:color="auto" w:fill="FFFFFF"/>
        <w:spacing w:before="0" w:beforeAutospacing="0" w:after="0" w:afterAutospacing="0" w:line="360" w:lineRule="auto"/>
        <w:ind w:firstLine="480" w:firstLineChars="200"/>
        <w:rPr>
          <w:rFonts w:ascii="华文中宋" w:hAnsi="华文中宋" w:eastAsia="华文中宋" w:cs="华文中宋"/>
        </w:rPr>
      </w:pPr>
      <w:r>
        <w:rPr>
          <w:rFonts w:hint="eastAsia" w:ascii="华文中宋" w:hAnsi="华文中宋" w:eastAsia="华文中宋" w:cs="华文中宋"/>
        </w:rPr>
        <w:t>3、主要参加单位和工作组成员及其所做的工作等</w:t>
      </w:r>
    </w:p>
    <w:p>
      <w:pPr>
        <w:pStyle w:val="8"/>
        <w:shd w:val="clear" w:color="auto" w:fill="FFFFFF"/>
        <w:spacing w:before="0" w:beforeAutospacing="0" w:after="0" w:afterAutospacing="0" w:line="360" w:lineRule="auto"/>
        <w:ind w:firstLine="480" w:firstLineChars="200"/>
        <w:rPr>
          <w:rFonts w:ascii="仿宋" w:hAnsi="仿宋" w:eastAsia="仿宋" w:cs="仿宋"/>
        </w:rPr>
      </w:pPr>
      <w:r>
        <w:rPr>
          <w:rFonts w:hint="eastAsia" w:ascii="仿宋" w:hAnsi="仿宋" w:eastAsia="仿宋" w:cs="仿宋"/>
        </w:rPr>
        <w:t>北京植物医生生物科技有限公司、中国科学院昆明植物研究所、北京东方淼森生物科技有限公司、太和康美（北京）中医研究院有限公司。</w:t>
      </w:r>
    </w:p>
    <w:p>
      <w:pPr>
        <w:pStyle w:val="8"/>
        <w:shd w:val="clear" w:color="auto" w:fill="FFFFFF"/>
        <w:spacing w:before="0" w:beforeAutospacing="0" w:after="0" w:afterAutospacing="0" w:line="360" w:lineRule="auto"/>
        <w:ind w:firstLine="480" w:firstLineChars="200"/>
        <w:rPr>
          <w:rFonts w:ascii="仿宋" w:hAnsi="仿宋" w:eastAsia="仿宋" w:cs="仿宋"/>
        </w:rPr>
      </w:pPr>
      <w:r>
        <w:rPr>
          <w:rFonts w:hint="eastAsia" w:ascii="仿宋" w:hAnsi="仿宋" w:eastAsia="仿宋" w:cs="仿宋"/>
        </w:rPr>
        <w:t>主要成员：</w:t>
      </w:r>
    </w:p>
    <w:p>
      <w:pPr>
        <w:pStyle w:val="8"/>
        <w:shd w:val="clear" w:color="auto" w:fill="FFFFFF"/>
        <w:spacing w:before="0" w:beforeAutospacing="0" w:after="0" w:afterAutospacing="0" w:line="360" w:lineRule="auto"/>
        <w:ind w:firstLine="480" w:firstLineChars="200"/>
        <w:rPr>
          <w:rFonts w:ascii="仿宋" w:hAnsi="仿宋" w:eastAsia="仿宋" w:cs="仿宋"/>
        </w:rPr>
      </w:pPr>
      <w:r>
        <w:rPr>
          <w:rFonts w:hint="eastAsia" w:ascii="仿宋" w:hAnsi="仿宋" w:eastAsia="仿宋" w:cs="仿宋"/>
        </w:rPr>
        <w:t>所做的工作：</w:t>
      </w:r>
    </w:p>
    <w:p>
      <w:pPr>
        <w:pStyle w:val="8"/>
        <w:shd w:val="clear" w:color="auto" w:fill="FFFFFF"/>
        <w:spacing w:before="0" w:beforeAutospacing="0" w:after="0" w:afterAutospacing="0" w:line="360" w:lineRule="auto"/>
        <w:ind w:firstLine="480" w:firstLineChars="200"/>
        <w:rPr>
          <w:rFonts w:ascii="仿宋" w:hAnsi="仿宋" w:eastAsia="仿宋" w:cs="仿宋"/>
        </w:rPr>
      </w:pPr>
      <w:r>
        <w:rPr>
          <w:rFonts w:hint="eastAsia" w:ascii="仿宋" w:hAnsi="仿宋" w:eastAsia="仿宋" w:cs="仿宋"/>
        </w:rPr>
        <w:t>-刘德海任工作组组长，主持全面协调工作；</w:t>
      </w:r>
    </w:p>
    <w:p>
      <w:pPr>
        <w:pStyle w:val="8"/>
        <w:shd w:val="clear" w:color="auto" w:fill="FFFFFF"/>
        <w:spacing w:before="0" w:beforeAutospacing="0" w:after="0" w:afterAutospacing="0" w:line="360" w:lineRule="auto"/>
        <w:ind w:firstLine="480" w:firstLineChars="200"/>
        <w:rPr>
          <w:rFonts w:ascii="仿宋" w:hAnsi="仿宋" w:eastAsia="仿宋" w:cs="仿宋"/>
        </w:rPr>
      </w:pPr>
      <w:r>
        <w:rPr>
          <w:rFonts w:hint="eastAsia" w:ascii="仿宋" w:hAnsi="仿宋" w:eastAsia="仿宋" w:cs="仿宋"/>
        </w:rPr>
        <w:t>-胡江苗、邱显荣为本标准主要持笔人负责本标准的起草、编写；</w:t>
      </w:r>
    </w:p>
    <w:p>
      <w:pPr>
        <w:pStyle w:val="8"/>
        <w:shd w:val="clear" w:color="auto" w:fill="FFFFFF"/>
        <w:spacing w:before="0" w:beforeAutospacing="0" w:after="0" w:afterAutospacing="0" w:line="360" w:lineRule="auto"/>
        <w:ind w:firstLine="480" w:firstLineChars="200"/>
        <w:rPr>
          <w:rFonts w:ascii="仿宋" w:hAnsi="仿宋" w:eastAsia="仿宋" w:cs="仿宋"/>
        </w:rPr>
      </w:pPr>
      <w:r>
        <w:rPr>
          <w:rFonts w:hint="eastAsia" w:ascii="仿宋" w:hAnsi="仿宋" w:eastAsia="仿宋" w:cs="仿宋"/>
        </w:rPr>
        <w:t>-刘有停负责对不同批次产品生产质量进行全面汇总和分析；</w:t>
      </w:r>
    </w:p>
    <w:p>
      <w:pPr>
        <w:pStyle w:val="8"/>
        <w:shd w:val="clear" w:color="auto" w:fill="FFFFFF"/>
        <w:spacing w:before="0" w:beforeAutospacing="0" w:after="0" w:afterAutospacing="0" w:line="360" w:lineRule="auto"/>
        <w:ind w:firstLine="480" w:firstLineChars="200"/>
        <w:rPr>
          <w:rFonts w:ascii="仿宋" w:hAnsi="仿宋" w:eastAsia="仿宋" w:cs="仿宋"/>
        </w:rPr>
      </w:pPr>
      <w:r>
        <w:rPr>
          <w:rFonts w:hint="eastAsia" w:ascii="仿宋" w:hAnsi="仿宋" w:eastAsia="仿宋" w:cs="仿宋"/>
        </w:rPr>
        <w:t>-杨柳、张卫红负责广泛搜集和检索国内石斛多糖的分析测试技术资料，进行研究分析、资料查证等工作。</w:t>
      </w:r>
    </w:p>
    <w:p>
      <w:pPr>
        <w:numPr>
          <w:ilvl w:val="0"/>
          <w:numId w:val="3"/>
        </w:numPr>
        <w:adjustRightInd/>
        <w:textAlignment w:val="auto"/>
        <w:rPr>
          <w:rFonts w:ascii="华文中宋" w:hAnsi="华文中宋" w:eastAsia="华文中宋" w:cs="华文中宋"/>
          <w:color w:val="000000"/>
          <w:sz w:val="24"/>
          <w:szCs w:val="24"/>
        </w:rPr>
      </w:pPr>
      <w:r>
        <w:rPr>
          <w:rFonts w:hint="eastAsia" w:ascii="华文中宋" w:hAnsi="华文中宋" w:eastAsia="华文中宋" w:cs="华文中宋"/>
          <w:color w:val="000000"/>
          <w:sz w:val="24"/>
          <w:szCs w:val="24"/>
        </w:rPr>
        <w:t>与我国有关法律法规和其他标准的关系</w:t>
      </w:r>
    </w:p>
    <w:p>
      <w:pPr>
        <w:pStyle w:val="8"/>
        <w:shd w:val="clear" w:color="auto" w:fill="FFFFFF"/>
        <w:spacing w:before="0" w:beforeAutospacing="0" w:after="0" w:afterAutospacing="0" w:line="360" w:lineRule="auto"/>
        <w:ind w:firstLine="480" w:firstLineChars="200"/>
        <w:rPr>
          <w:rFonts w:hint="eastAsia" w:ascii="仿宋" w:hAnsi="仿宋" w:eastAsia="仿宋" w:cs="仿宋"/>
          <w:lang w:eastAsia="zh-CN"/>
        </w:rPr>
      </w:pPr>
      <w:r>
        <w:rPr>
          <w:rFonts w:hint="eastAsia" w:ascii="仿宋" w:hAnsi="仿宋" w:eastAsia="仿宋" w:cs="仿宋"/>
        </w:rPr>
        <w:t>铁皮石斛多糖含量，</w:t>
      </w:r>
      <w:r>
        <w:rPr>
          <w:rFonts w:hint="eastAsia" w:ascii="仿宋" w:hAnsi="仿宋" w:eastAsia="仿宋" w:cs="仿宋"/>
          <w:lang w:val="en-US" w:eastAsia="zh-CN"/>
        </w:rPr>
        <w:t>参照</w:t>
      </w:r>
      <w:r>
        <w:rPr>
          <w:rFonts w:hint="eastAsia" w:ascii="仿宋" w:hAnsi="仿宋" w:eastAsia="仿宋" w:cs="仿宋"/>
        </w:rPr>
        <w:t>《</w:t>
      </w:r>
      <w:r>
        <w:rPr>
          <w:rFonts w:hint="eastAsia" w:ascii="仿宋" w:hAnsi="仿宋" w:eastAsia="仿宋"/>
          <w:lang w:val="es-ES"/>
        </w:rPr>
        <w:t>中华人民共和国药典</w:t>
      </w:r>
      <w:r>
        <w:rPr>
          <w:rFonts w:hint="eastAsia" w:ascii="仿宋" w:hAnsi="仿宋" w:eastAsia="仿宋" w:cs="仿宋"/>
        </w:rPr>
        <w:t>》</w:t>
      </w:r>
      <w:r>
        <w:rPr>
          <w:rFonts w:ascii="仿宋" w:hAnsi="仿宋" w:eastAsia="仿宋" w:cs="仿宋"/>
          <w:kern w:val="2"/>
        </w:rPr>
        <w:t>(2015</w:t>
      </w:r>
      <w:r>
        <w:rPr>
          <w:rFonts w:hint="eastAsia" w:ascii="仿宋" w:hAnsi="仿宋" w:eastAsia="仿宋" w:cs="仿宋"/>
          <w:kern w:val="2"/>
        </w:rPr>
        <w:t>版</w:t>
      </w:r>
      <w:r>
        <w:rPr>
          <w:rFonts w:ascii="仿宋" w:hAnsi="仿宋" w:eastAsia="仿宋" w:cs="仿宋"/>
          <w:kern w:val="2"/>
        </w:rPr>
        <w:t>)</w:t>
      </w:r>
      <w:r>
        <w:rPr>
          <w:rFonts w:hint="eastAsia" w:ascii="仿宋" w:hAnsi="仿宋" w:eastAsia="仿宋" w:cs="仿宋"/>
          <w:kern w:val="2"/>
        </w:rPr>
        <w:t>一部多糖含量的测定方法（2</w:t>
      </w:r>
      <w:r>
        <w:rPr>
          <w:rFonts w:ascii="仿宋" w:hAnsi="仿宋" w:eastAsia="仿宋" w:cs="仿宋"/>
          <w:kern w:val="2"/>
        </w:rPr>
        <w:t>82</w:t>
      </w:r>
      <w:r>
        <w:rPr>
          <w:rFonts w:hint="eastAsia" w:ascii="仿宋" w:hAnsi="仿宋" w:eastAsia="仿宋" w:cs="仿宋"/>
          <w:kern w:val="2"/>
        </w:rPr>
        <w:t>页</w:t>
      </w:r>
      <w:r>
        <w:rPr>
          <w:rFonts w:ascii="仿宋" w:hAnsi="仿宋" w:eastAsia="仿宋" w:cs="仿宋"/>
          <w:kern w:val="2"/>
        </w:rPr>
        <w:t>）</w:t>
      </w:r>
      <w:r>
        <w:rPr>
          <w:rFonts w:hint="eastAsia" w:ascii="仿宋" w:hAnsi="仿宋" w:eastAsia="仿宋" w:cs="仿宋"/>
          <w:kern w:val="2"/>
          <w:lang w:val="en-US" w:eastAsia="zh-CN"/>
        </w:rPr>
        <w:t>和</w:t>
      </w:r>
      <w:r>
        <w:rPr>
          <w:rFonts w:hint="eastAsia" w:ascii="仿宋" w:hAnsi="仿宋" w:eastAsia="仿宋" w:cs="仿宋"/>
        </w:rPr>
        <w:t>《QB/T 2488-2006 化妆品用芦荟汁、粉》</w:t>
      </w:r>
      <w:r>
        <w:rPr>
          <w:rFonts w:hint="eastAsia" w:ascii="仿宋" w:hAnsi="仿宋" w:eastAsia="仿宋" w:cs="仿宋"/>
          <w:lang w:eastAsia="zh-CN"/>
        </w:rPr>
        <w:t>。</w:t>
      </w:r>
    </w:p>
    <w:p>
      <w:pPr>
        <w:pStyle w:val="8"/>
        <w:shd w:val="clear" w:color="auto" w:fill="FFFFFF"/>
        <w:spacing w:before="0" w:beforeAutospacing="0" w:after="0" w:afterAutospacing="0" w:line="360" w:lineRule="auto"/>
        <w:ind w:firstLine="480" w:firstLineChars="200"/>
        <w:rPr>
          <w:rFonts w:ascii="仿宋" w:hAnsi="仿宋" w:eastAsia="仿宋" w:cs="仿宋"/>
        </w:rPr>
      </w:pPr>
      <w:r>
        <w:rPr>
          <w:rFonts w:hint="eastAsia" w:ascii="仿宋" w:hAnsi="仿宋" w:eastAsia="仿宋" w:cs="仿宋"/>
        </w:rPr>
        <w:t>理化指标、重金属及微生物指标，根据《化妆品安全技术规范》2015版的规定编制。农药残留指标，参考《</w:t>
      </w:r>
      <w:r>
        <w:rPr>
          <w:rFonts w:hint="eastAsia" w:ascii="仿宋" w:hAnsi="仿宋" w:eastAsia="仿宋"/>
          <w:lang w:val="es-ES"/>
        </w:rPr>
        <w:t>中华人民共和国药典</w:t>
      </w:r>
      <w:r>
        <w:rPr>
          <w:rFonts w:hint="eastAsia" w:ascii="仿宋" w:hAnsi="仿宋" w:eastAsia="仿宋" w:cs="仿宋"/>
        </w:rPr>
        <w:t>》</w:t>
      </w:r>
      <w:r>
        <w:rPr>
          <w:rFonts w:ascii="仿宋" w:hAnsi="仿宋" w:eastAsia="仿宋" w:cs="仿宋"/>
          <w:kern w:val="2"/>
        </w:rPr>
        <w:t>2015</w:t>
      </w:r>
      <w:r>
        <w:rPr>
          <w:rFonts w:hint="eastAsia" w:ascii="仿宋" w:hAnsi="仿宋" w:eastAsia="仿宋" w:cs="仿宋"/>
        </w:rPr>
        <w:t>版四部通则制定。</w:t>
      </w:r>
    </w:p>
    <w:p>
      <w:pPr>
        <w:numPr>
          <w:ilvl w:val="0"/>
          <w:numId w:val="3"/>
        </w:numPr>
        <w:adjustRightInd/>
        <w:textAlignment w:val="auto"/>
        <w:rPr>
          <w:rFonts w:ascii="华文中宋" w:hAnsi="华文中宋" w:eastAsia="华文中宋" w:cs="华文中宋"/>
          <w:color w:val="000000"/>
          <w:sz w:val="24"/>
          <w:szCs w:val="24"/>
        </w:rPr>
      </w:pPr>
      <w:r>
        <w:rPr>
          <w:rFonts w:ascii="华文中宋" w:hAnsi="华文中宋" w:eastAsia="华文中宋" w:cs="华文中宋"/>
          <w:color w:val="000000"/>
          <w:sz w:val="24"/>
          <w:szCs w:val="24"/>
        </w:rPr>
        <w:t>国外有关法律、法规和标准情况的说明</w:t>
      </w:r>
    </w:p>
    <w:p>
      <w:pPr>
        <w:pStyle w:val="8"/>
        <w:shd w:val="clear" w:color="auto" w:fill="FFFFFF"/>
        <w:spacing w:before="0" w:beforeAutospacing="0" w:after="0" w:afterAutospacing="0" w:line="360" w:lineRule="auto"/>
        <w:ind w:firstLine="480" w:firstLineChars="200"/>
        <w:rPr>
          <w:rFonts w:ascii="仿宋" w:hAnsi="仿宋" w:eastAsia="仿宋" w:cs="仿宋"/>
        </w:rPr>
      </w:pPr>
      <w:r>
        <w:rPr>
          <w:rFonts w:hint="eastAsia" w:ascii="仿宋" w:hAnsi="仿宋" w:eastAsia="仿宋" w:cs="仿宋"/>
        </w:rPr>
        <w:t>据查证，目前尚无化妆品用铁皮石斛茎提取物国际标准或国外先进标准。</w:t>
      </w:r>
    </w:p>
    <w:p>
      <w:pPr>
        <w:numPr>
          <w:ilvl w:val="0"/>
          <w:numId w:val="3"/>
        </w:numPr>
        <w:adjustRightInd/>
        <w:textAlignment w:val="auto"/>
        <w:rPr>
          <w:rFonts w:ascii="华文中宋" w:hAnsi="华文中宋" w:eastAsia="华文中宋" w:cs="华文中宋"/>
          <w:color w:val="000000"/>
          <w:sz w:val="24"/>
          <w:szCs w:val="24"/>
        </w:rPr>
      </w:pPr>
      <w:r>
        <w:rPr>
          <w:rFonts w:hint="eastAsia" w:ascii="华文中宋" w:hAnsi="华文中宋" w:eastAsia="华文中宋" w:cs="华文中宋"/>
          <w:color w:val="000000"/>
          <w:sz w:val="24"/>
          <w:szCs w:val="24"/>
        </w:rPr>
        <w:t>标准的制（修）订与起草原则</w:t>
      </w:r>
    </w:p>
    <w:p>
      <w:pPr>
        <w:ind w:firstLine="480" w:firstLineChars="200"/>
        <w:rPr>
          <w:rFonts w:ascii="仿宋" w:hAnsi="仿宋" w:eastAsia="仿宋" w:cs="仿宋"/>
          <w:kern w:val="0"/>
          <w:sz w:val="24"/>
          <w:szCs w:val="24"/>
        </w:rPr>
      </w:pPr>
      <w:r>
        <w:rPr>
          <w:rFonts w:hint="eastAsia" w:ascii="仿宋" w:hAnsi="仿宋" w:eastAsia="仿宋" w:cs="仿宋"/>
          <w:kern w:val="0"/>
          <w:sz w:val="24"/>
          <w:szCs w:val="24"/>
        </w:rPr>
        <w:t>本标准的制定符合产业发展的原则，本着先进性、科学性、合理性和可操作性的原则以及标准的目标、统一性、协调性、适用性、一致性和规范性原则来进行本标准的制定工作。</w:t>
      </w:r>
    </w:p>
    <w:p>
      <w:pPr>
        <w:ind w:firstLine="480" w:firstLineChars="200"/>
        <w:rPr>
          <w:rFonts w:ascii="仿宋" w:hAnsi="仿宋" w:eastAsia="仿宋" w:cs="仿宋"/>
          <w:kern w:val="0"/>
          <w:sz w:val="24"/>
          <w:szCs w:val="24"/>
        </w:rPr>
      </w:pPr>
      <w:r>
        <w:rPr>
          <w:rFonts w:hint="eastAsia" w:ascii="仿宋" w:hAnsi="仿宋" w:eastAsia="仿宋" w:cs="仿宋"/>
          <w:kern w:val="0"/>
          <w:sz w:val="24"/>
          <w:szCs w:val="24"/>
        </w:rPr>
        <w:t>本标准起草过程中，主要按GB/T 1.1－2009《标准化工作导则 第1部分：标准的结构和编写》进行编写。本标准制定过程中，主要参考了以下标准或文件：</w:t>
      </w:r>
    </w:p>
    <w:p>
      <w:pPr>
        <w:ind w:firstLine="480" w:firstLineChars="200"/>
        <w:rPr>
          <w:rFonts w:ascii="仿宋" w:hAnsi="仿宋" w:eastAsia="仿宋" w:cs="仿宋"/>
          <w:kern w:val="0"/>
          <w:sz w:val="24"/>
          <w:szCs w:val="24"/>
        </w:rPr>
      </w:pPr>
      <w:r>
        <w:rPr>
          <w:rFonts w:ascii="仿宋" w:hAnsi="仿宋" w:eastAsia="仿宋" w:cs="仿宋"/>
          <w:kern w:val="0"/>
          <w:sz w:val="24"/>
          <w:szCs w:val="24"/>
        </w:rPr>
        <w:t>GB/T 1.1-2009</w:t>
      </w:r>
      <w:r>
        <w:rPr>
          <w:rFonts w:hint="eastAsia" w:ascii="仿宋" w:hAnsi="仿宋" w:eastAsia="仿宋" w:cs="仿宋"/>
          <w:kern w:val="0"/>
          <w:sz w:val="24"/>
          <w:szCs w:val="24"/>
        </w:rPr>
        <w:t xml:space="preserve"> 标准化工作导则</w:t>
      </w:r>
      <w:r>
        <w:rPr>
          <w:rFonts w:ascii="仿宋" w:hAnsi="仿宋" w:eastAsia="仿宋" w:cs="仿宋"/>
          <w:kern w:val="0"/>
          <w:sz w:val="24"/>
          <w:szCs w:val="24"/>
        </w:rPr>
        <w:t xml:space="preserve"> </w:t>
      </w:r>
      <w:r>
        <w:rPr>
          <w:rFonts w:hint="eastAsia" w:ascii="仿宋" w:hAnsi="仿宋" w:eastAsia="仿宋" w:cs="仿宋"/>
          <w:kern w:val="0"/>
          <w:sz w:val="24"/>
          <w:szCs w:val="24"/>
        </w:rPr>
        <w:t>第</w:t>
      </w:r>
      <w:r>
        <w:rPr>
          <w:rFonts w:ascii="仿宋" w:hAnsi="仿宋" w:eastAsia="仿宋" w:cs="仿宋"/>
          <w:kern w:val="0"/>
          <w:sz w:val="24"/>
          <w:szCs w:val="24"/>
        </w:rPr>
        <w:t>1</w:t>
      </w:r>
      <w:r>
        <w:rPr>
          <w:rFonts w:hint="eastAsia" w:ascii="仿宋" w:hAnsi="仿宋" w:eastAsia="仿宋" w:cs="仿宋"/>
          <w:kern w:val="0"/>
          <w:sz w:val="24"/>
          <w:szCs w:val="24"/>
        </w:rPr>
        <w:t>部分：标准的结构和编写</w:t>
      </w:r>
    </w:p>
    <w:p>
      <w:pPr>
        <w:ind w:firstLine="480" w:firstLineChars="200"/>
        <w:rPr>
          <w:rFonts w:ascii="仿宋" w:hAnsi="仿宋" w:eastAsia="仿宋" w:cs="仿宋"/>
          <w:kern w:val="0"/>
          <w:sz w:val="24"/>
          <w:szCs w:val="24"/>
        </w:rPr>
      </w:pPr>
      <w:r>
        <w:rPr>
          <w:rFonts w:ascii="仿宋" w:hAnsi="仿宋" w:eastAsia="仿宋" w:cs="仿宋"/>
          <w:kern w:val="0"/>
          <w:sz w:val="24"/>
          <w:szCs w:val="24"/>
        </w:rPr>
        <w:t xml:space="preserve">GB/T 191 </w:t>
      </w:r>
      <w:r>
        <w:rPr>
          <w:rFonts w:hint="eastAsia" w:ascii="仿宋" w:hAnsi="仿宋" w:eastAsia="仿宋" w:cs="仿宋"/>
          <w:kern w:val="0"/>
          <w:sz w:val="24"/>
          <w:szCs w:val="24"/>
        </w:rPr>
        <w:t>包装储运图示标志</w:t>
      </w:r>
    </w:p>
    <w:p>
      <w:pPr>
        <w:ind w:firstLine="480" w:firstLineChars="200"/>
        <w:rPr>
          <w:rFonts w:ascii="仿宋" w:hAnsi="仿宋" w:eastAsia="仿宋" w:cs="仿宋"/>
          <w:kern w:val="0"/>
          <w:sz w:val="24"/>
          <w:szCs w:val="24"/>
        </w:rPr>
      </w:pPr>
      <w:r>
        <w:rPr>
          <w:rFonts w:ascii="仿宋" w:hAnsi="仿宋" w:eastAsia="仿宋" w:cs="仿宋"/>
          <w:kern w:val="0"/>
          <w:sz w:val="24"/>
          <w:szCs w:val="24"/>
        </w:rPr>
        <w:t xml:space="preserve">GB/T 601 </w:t>
      </w:r>
      <w:r>
        <w:rPr>
          <w:rFonts w:hint="eastAsia" w:ascii="仿宋" w:hAnsi="仿宋" w:eastAsia="仿宋" w:cs="仿宋"/>
          <w:kern w:val="0"/>
          <w:sz w:val="24"/>
          <w:szCs w:val="24"/>
        </w:rPr>
        <w:t>化学试剂</w:t>
      </w:r>
      <w:r>
        <w:rPr>
          <w:rFonts w:ascii="仿宋" w:hAnsi="仿宋" w:eastAsia="仿宋" w:cs="仿宋"/>
          <w:kern w:val="0"/>
          <w:sz w:val="24"/>
          <w:szCs w:val="24"/>
        </w:rPr>
        <w:t xml:space="preserve"> </w:t>
      </w:r>
      <w:r>
        <w:rPr>
          <w:rFonts w:hint="eastAsia" w:ascii="仿宋" w:hAnsi="仿宋" w:eastAsia="仿宋" w:cs="仿宋"/>
          <w:kern w:val="0"/>
          <w:sz w:val="24"/>
          <w:szCs w:val="24"/>
        </w:rPr>
        <w:t>标准滴定溶液的制备</w:t>
      </w:r>
    </w:p>
    <w:p>
      <w:pPr>
        <w:ind w:firstLine="480" w:firstLineChars="200"/>
        <w:rPr>
          <w:rFonts w:ascii="仿宋" w:hAnsi="仿宋" w:eastAsia="仿宋" w:cs="仿宋"/>
          <w:kern w:val="0"/>
          <w:sz w:val="24"/>
          <w:szCs w:val="24"/>
        </w:rPr>
      </w:pPr>
      <w:r>
        <w:rPr>
          <w:rFonts w:ascii="仿宋" w:hAnsi="仿宋" w:eastAsia="仿宋" w:cs="仿宋"/>
          <w:kern w:val="0"/>
          <w:sz w:val="24"/>
          <w:szCs w:val="24"/>
        </w:rPr>
        <w:t xml:space="preserve">GB/T 602 </w:t>
      </w:r>
      <w:r>
        <w:rPr>
          <w:rFonts w:hint="eastAsia" w:ascii="仿宋" w:hAnsi="仿宋" w:eastAsia="仿宋" w:cs="仿宋"/>
          <w:kern w:val="0"/>
          <w:sz w:val="24"/>
          <w:szCs w:val="24"/>
        </w:rPr>
        <w:t>化学试剂</w:t>
      </w:r>
      <w:r>
        <w:rPr>
          <w:rFonts w:ascii="仿宋" w:hAnsi="仿宋" w:eastAsia="仿宋" w:cs="仿宋"/>
          <w:kern w:val="0"/>
          <w:sz w:val="24"/>
          <w:szCs w:val="24"/>
        </w:rPr>
        <w:t xml:space="preserve"> </w:t>
      </w:r>
      <w:r>
        <w:rPr>
          <w:rFonts w:hint="eastAsia" w:ascii="仿宋" w:hAnsi="仿宋" w:eastAsia="仿宋" w:cs="仿宋"/>
          <w:kern w:val="0"/>
          <w:sz w:val="24"/>
          <w:szCs w:val="24"/>
        </w:rPr>
        <w:t>杂质测定用标准溶液的制备</w:t>
      </w:r>
    </w:p>
    <w:p>
      <w:pPr>
        <w:ind w:firstLine="480" w:firstLineChars="200"/>
        <w:rPr>
          <w:rFonts w:ascii="仿宋" w:hAnsi="仿宋" w:eastAsia="仿宋" w:cs="仿宋"/>
          <w:kern w:val="0"/>
          <w:sz w:val="24"/>
          <w:szCs w:val="24"/>
        </w:rPr>
      </w:pPr>
      <w:r>
        <w:rPr>
          <w:rFonts w:ascii="仿宋" w:hAnsi="仿宋" w:eastAsia="仿宋" w:cs="仿宋"/>
          <w:kern w:val="0"/>
          <w:sz w:val="24"/>
          <w:szCs w:val="24"/>
        </w:rPr>
        <w:t xml:space="preserve">GB/T 603 </w:t>
      </w:r>
      <w:r>
        <w:rPr>
          <w:rFonts w:hint="eastAsia" w:ascii="仿宋" w:hAnsi="仿宋" w:eastAsia="仿宋" w:cs="仿宋"/>
          <w:kern w:val="0"/>
          <w:sz w:val="24"/>
          <w:szCs w:val="24"/>
        </w:rPr>
        <w:t>化学试剂</w:t>
      </w:r>
      <w:r>
        <w:rPr>
          <w:rFonts w:ascii="仿宋" w:hAnsi="仿宋" w:eastAsia="仿宋" w:cs="仿宋"/>
          <w:kern w:val="0"/>
          <w:sz w:val="24"/>
          <w:szCs w:val="24"/>
        </w:rPr>
        <w:t xml:space="preserve"> </w:t>
      </w:r>
      <w:r>
        <w:rPr>
          <w:rFonts w:hint="eastAsia" w:ascii="仿宋" w:hAnsi="仿宋" w:eastAsia="仿宋" w:cs="仿宋"/>
          <w:kern w:val="0"/>
          <w:sz w:val="24"/>
          <w:szCs w:val="24"/>
        </w:rPr>
        <w:t>实验方法中所用制剂及制品的制备</w:t>
      </w:r>
    </w:p>
    <w:p>
      <w:pPr>
        <w:ind w:firstLine="480" w:firstLineChars="200"/>
        <w:rPr>
          <w:rFonts w:ascii="仿宋" w:hAnsi="仿宋" w:eastAsia="仿宋" w:cs="仿宋"/>
          <w:kern w:val="0"/>
          <w:sz w:val="24"/>
          <w:szCs w:val="24"/>
        </w:rPr>
      </w:pPr>
      <w:r>
        <w:rPr>
          <w:rFonts w:ascii="仿宋" w:hAnsi="仿宋" w:eastAsia="仿宋" w:cs="仿宋"/>
          <w:kern w:val="0"/>
          <w:sz w:val="24"/>
          <w:szCs w:val="24"/>
        </w:rPr>
        <w:t xml:space="preserve">GB/T 6678 </w:t>
      </w:r>
      <w:r>
        <w:rPr>
          <w:rFonts w:hint="eastAsia" w:ascii="仿宋" w:hAnsi="仿宋" w:eastAsia="仿宋" w:cs="仿宋"/>
          <w:kern w:val="0"/>
          <w:sz w:val="24"/>
          <w:szCs w:val="24"/>
        </w:rPr>
        <w:t>化工产品采样总则</w:t>
      </w:r>
    </w:p>
    <w:p>
      <w:pPr>
        <w:ind w:firstLine="480" w:firstLineChars="200"/>
        <w:rPr>
          <w:rFonts w:ascii="仿宋" w:hAnsi="仿宋" w:eastAsia="仿宋" w:cs="仿宋"/>
          <w:kern w:val="0"/>
          <w:sz w:val="24"/>
          <w:szCs w:val="24"/>
        </w:rPr>
      </w:pPr>
      <w:r>
        <w:rPr>
          <w:rFonts w:ascii="仿宋" w:hAnsi="仿宋" w:eastAsia="仿宋" w:cs="仿宋"/>
          <w:kern w:val="0"/>
          <w:sz w:val="24"/>
          <w:szCs w:val="24"/>
        </w:rPr>
        <w:t xml:space="preserve">GB/T 6680 </w:t>
      </w:r>
      <w:r>
        <w:rPr>
          <w:rFonts w:hint="eastAsia" w:ascii="仿宋" w:hAnsi="仿宋" w:eastAsia="仿宋" w:cs="仿宋"/>
          <w:kern w:val="0"/>
          <w:sz w:val="24"/>
          <w:szCs w:val="24"/>
        </w:rPr>
        <w:t>液体化工产品采样通则</w:t>
      </w:r>
    </w:p>
    <w:p>
      <w:pPr>
        <w:ind w:firstLine="480" w:firstLineChars="200"/>
        <w:rPr>
          <w:rFonts w:ascii="仿宋" w:hAnsi="仿宋" w:eastAsia="仿宋" w:cs="仿宋"/>
          <w:color w:val="FF0000"/>
          <w:kern w:val="0"/>
          <w:sz w:val="24"/>
          <w:szCs w:val="24"/>
        </w:rPr>
      </w:pPr>
      <w:r>
        <w:rPr>
          <w:rFonts w:ascii="仿宋" w:hAnsi="仿宋" w:eastAsia="仿宋" w:cs="仿宋"/>
          <w:kern w:val="0"/>
          <w:sz w:val="24"/>
          <w:szCs w:val="24"/>
        </w:rPr>
        <w:t xml:space="preserve">GB/T 6682 </w:t>
      </w:r>
      <w:r>
        <w:rPr>
          <w:rFonts w:hint="eastAsia" w:ascii="仿宋" w:hAnsi="仿宋" w:eastAsia="仿宋" w:cs="仿宋"/>
          <w:kern w:val="0"/>
          <w:sz w:val="24"/>
          <w:szCs w:val="24"/>
        </w:rPr>
        <w:t>分析实验室用水规格和实验方法</w:t>
      </w:r>
      <w:r>
        <w:rPr>
          <w:rFonts w:hint="eastAsia" w:ascii="仿宋" w:hAnsi="仿宋" w:eastAsia="仿宋" w:cs="仿宋"/>
          <w:sz w:val="24"/>
          <w:szCs w:val="24"/>
        </w:rPr>
        <w:t>（ISO03696：1987，MOD）</w:t>
      </w:r>
    </w:p>
    <w:p>
      <w:pPr>
        <w:ind w:firstLine="480" w:firstLineChars="200"/>
        <w:rPr>
          <w:rFonts w:ascii="仿宋" w:hAnsi="仿宋" w:eastAsia="仿宋" w:cs="仿宋"/>
          <w:kern w:val="0"/>
          <w:sz w:val="24"/>
          <w:szCs w:val="24"/>
        </w:rPr>
      </w:pPr>
      <w:r>
        <w:rPr>
          <w:rFonts w:ascii="仿宋" w:hAnsi="仿宋" w:eastAsia="仿宋" w:cs="仿宋"/>
          <w:kern w:val="0"/>
          <w:sz w:val="24"/>
          <w:szCs w:val="24"/>
        </w:rPr>
        <w:t xml:space="preserve">GB/T 8170 </w:t>
      </w:r>
      <w:r>
        <w:rPr>
          <w:rFonts w:hint="eastAsia" w:ascii="仿宋" w:hAnsi="仿宋" w:eastAsia="仿宋" w:cs="仿宋"/>
          <w:kern w:val="0"/>
          <w:sz w:val="24"/>
          <w:szCs w:val="24"/>
        </w:rPr>
        <w:t>数值修约规则与极限数值的表示和判定</w:t>
      </w:r>
    </w:p>
    <w:p>
      <w:pPr>
        <w:ind w:firstLine="480" w:firstLineChars="200"/>
        <w:rPr>
          <w:rFonts w:ascii="仿宋" w:hAnsi="仿宋" w:eastAsia="仿宋" w:cs="仿宋"/>
          <w:kern w:val="0"/>
          <w:sz w:val="24"/>
          <w:szCs w:val="24"/>
        </w:rPr>
      </w:pPr>
      <w:r>
        <w:rPr>
          <w:rFonts w:hint="eastAsia" w:ascii="仿宋" w:hAnsi="仿宋" w:eastAsia="仿宋" w:cs="仿宋"/>
          <w:kern w:val="0"/>
          <w:sz w:val="24"/>
          <w:szCs w:val="24"/>
        </w:rPr>
        <w:t>《化妆品安全技术规范》（</w:t>
      </w:r>
      <w:r>
        <w:rPr>
          <w:rFonts w:ascii="仿宋" w:hAnsi="仿宋" w:eastAsia="仿宋" w:cs="仿宋"/>
          <w:kern w:val="0"/>
          <w:sz w:val="24"/>
          <w:szCs w:val="24"/>
        </w:rPr>
        <w:t>2015</w:t>
      </w:r>
      <w:r>
        <w:rPr>
          <w:rFonts w:hint="eastAsia" w:ascii="仿宋" w:hAnsi="仿宋" w:eastAsia="仿宋" w:cs="仿宋"/>
          <w:kern w:val="0"/>
          <w:sz w:val="24"/>
          <w:szCs w:val="24"/>
        </w:rPr>
        <w:t>版）（国家食品药品监督管理总局公告</w:t>
      </w:r>
      <w:r>
        <w:rPr>
          <w:rFonts w:ascii="仿宋" w:hAnsi="仿宋" w:eastAsia="仿宋" w:cs="仿宋"/>
          <w:kern w:val="0"/>
          <w:sz w:val="24"/>
          <w:szCs w:val="24"/>
        </w:rPr>
        <w:t>2015</w:t>
      </w:r>
      <w:r>
        <w:rPr>
          <w:rFonts w:hint="eastAsia" w:ascii="仿宋" w:hAnsi="仿宋" w:eastAsia="仿宋" w:cs="仿宋"/>
          <w:kern w:val="0"/>
          <w:sz w:val="24"/>
          <w:szCs w:val="24"/>
        </w:rPr>
        <w:t>年第</w:t>
      </w:r>
      <w:r>
        <w:rPr>
          <w:rFonts w:ascii="仿宋" w:hAnsi="仿宋" w:eastAsia="仿宋" w:cs="仿宋"/>
          <w:kern w:val="0"/>
          <w:sz w:val="24"/>
          <w:szCs w:val="24"/>
        </w:rPr>
        <w:t>268</w:t>
      </w:r>
      <w:r>
        <w:rPr>
          <w:rFonts w:hint="eastAsia" w:ascii="仿宋" w:hAnsi="仿宋" w:eastAsia="仿宋" w:cs="仿宋"/>
          <w:kern w:val="0"/>
          <w:sz w:val="24"/>
          <w:szCs w:val="24"/>
        </w:rPr>
        <w:t>号）</w:t>
      </w:r>
    </w:p>
    <w:p>
      <w:pPr>
        <w:ind w:firstLine="480" w:firstLineChars="200"/>
        <w:rPr>
          <w:rFonts w:ascii="仿宋" w:hAnsi="仿宋" w:eastAsia="仿宋" w:cs="仿宋"/>
          <w:kern w:val="0"/>
          <w:sz w:val="24"/>
          <w:szCs w:val="24"/>
        </w:rPr>
      </w:pPr>
      <w:r>
        <w:rPr>
          <w:rFonts w:hint="eastAsia" w:ascii="仿宋" w:hAnsi="仿宋" w:eastAsia="仿宋" w:cs="仿宋"/>
          <w:kern w:val="0"/>
          <w:sz w:val="24"/>
          <w:szCs w:val="24"/>
        </w:rPr>
        <w:t>《中华人民共和国药典》（</w:t>
      </w:r>
      <w:r>
        <w:rPr>
          <w:rFonts w:ascii="仿宋" w:hAnsi="仿宋" w:eastAsia="仿宋" w:cs="仿宋"/>
          <w:kern w:val="0"/>
          <w:sz w:val="24"/>
          <w:szCs w:val="24"/>
        </w:rPr>
        <w:t>2015</w:t>
      </w:r>
      <w:r>
        <w:rPr>
          <w:rFonts w:hint="eastAsia" w:ascii="仿宋" w:hAnsi="仿宋" w:eastAsia="仿宋" w:cs="仿宋"/>
          <w:kern w:val="0"/>
          <w:sz w:val="24"/>
          <w:szCs w:val="24"/>
        </w:rPr>
        <w:t>版）一部</w:t>
      </w:r>
    </w:p>
    <w:p>
      <w:pPr>
        <w:pStyle w:val="8"/>
        <w:shd w:val="clear" w:color="auto" w:fill="FFFFFF"/>
        <w:spacing w:before="0" w:beforeAutospacing="0" w:after="225" w:afterAutospacing="0" w:line="360" w:lineRule="auto"/>
        <w:ind w:firstLine="480" w:firstLineChars="200"/>
        <w:rPr>
          <w:rFonts w:ascii="仿宋" w:hAnsi="仿宋" w:eastAsia="仿宋" w:cs="仿宋"/>
        </w:rPr>
      </w:pPr>
      <w:r>
        <w:rPr>
          <w:rFonts w:hint="eastAsia" w:ascii="仿宋" w:hAnsi="仿宋" w:eastAsia="仿宋" w:cs="仿宋"/>
        </w:rPr>
        <w:t>《中华人民共和国药典》（</w:t>
      </w:r>
      <w:r>
        <w:rPr>
          <w:rFonts w:ascii="仿宋" w:hAnsi="仿宋" w:eastAsia="仿宋" w:cs="仿宋"/>
        </w:rPr>
        <w:t>2015</w:t>
      </w:r>
      <w:r>
        <w:rPr>
          <w:rFonts w:hint="eastAsia" w:ascii="仿宋" w:hAnsi="仿宋" w:eastAsia="仿宋" w:cs="仿宋"/>
        </w:rPr>
        <w:t>版）四部</w:t>
      </w:r>
    </w:p>
    <w:p>
      <w:pPr>
        <w:adjustRightInd/>
        <w:textAlignment w:val="auto"/>
        <w:rPr>
          <w:rFonts w:ascii="华文中宋" w:hAnsi="华文中宋" w:eastAsia="华文中宋" w:cs="华文中宋"/>
          <w:sz w:val="24"/>
          <w:szCs w:val="24"/>
        </w:rPr>
      </w:pPr>
      <w:r>
        <w:rPr>
          <w:rFonts w:hint="eastAsia" w:ascii="华文中宋" w:hAnsi="华文中宋" w:eastAsia="华文中宋" w:cs="华文中宋"/>
          <w:sz w:val="24"/>
          <w:szCs w:val="24"/>
        </w:rPr>
        <w:t>五、各项技术内容确定依据</w:t>
      </w:r>
    </w:p>
    <w:p>
      <w:pPr>
        <w:pStyle w:val="14"/>
        <w:ind w:firstLine="367" w:firstLineChars="175"/>
        <w:rPr>
          <w:rFonts w:ascii="仿宋" w:hAnsi="仿宋" w:eastAsia="仿宋" w:cs="仿宋"/>
          <w:sz w:val="24"/>
          <w:szCs w:val="24"/>
        </w:rPr>
      </w:pPr>
      <w:r>
        <w:rPr>
          <w:rFonts w:hint="eastAsia" w:ascii="仿宋" w:hAnsi="仿宋" w:eastAsia="仿宋" w:cs="仿宋"/>
        </w:rPr>
        <w:t>《</w:t>
      </w:r>
      <w:r>
        <w:rPr>
          <w:rFonts w:hint="eastAsia" w:ascii="仿宋" w:hAnsi="仿宋" w:eastAsia="仿宋"/>
          <w:lang w:val="es-ES"/>
        </w:rPr>
        <w:t>中华人民共和国药典</w:t>
      </w:r>
      <w:r>
        <w:rPr>
          <w:rFonts w:hint="eastAsia" w:ascii="仿宋" w:hAnsi="仿宋" w:eastAsia="仿宋" w:cs="仿宋"/>
        </w:rPr>
        <w:t>》</w:t>
      </w:r>
      <w:r>
        <w:rPr>
          <w:rFonts w:ascii="仿宋" w:hAnsi="仿宋" w:eastAsia="仿宋" w:cs="仿宋"/>
          <w:kern w:val="2"/>
        </w:rPr>
        <w:t>(2015</w:t>
      </w:r>
      <w:r>
        <w:rPr>
          <w:rFonts w:hint="eastAsia" w:ascii="仿宋" w:hAnsi="仿宋" w:eastAsia="仿宋" w:cs="仿宋"/>
          <w:kern w:val="2"/>
        </w:rPr>
        <w:t>版</w:t>
      </w:r>
      <w:r>
        <w:rPr>
          <w:rFonts w:ascii="仿宋" w:hAnsi="仿宋" w:eastAsia="仿宋" w:cs="仿宋"/>
          <w:kern w:val="2"/>
        </w:rPr>
        <w:t>)</w:t>
      </w:r>
      <w:r>
        <w:rPr>
          <w:rFonts w:hint="eastAsia" w:ascii="仿宋" w:hAnsi="仿宋" w:eastAsia="仿宋" w:cs="仿宋"/>
          <w:kern w:val="2"/>
        </w:rPr>
        <w:t>一部多糖含量的测定方法（2</w:t>
      </w:r>
      <w:r>
        <w:rPr>
          <w:rFonts w:ascii="仿宋" w:hAnsi="仿宋" w:eastAsia="仿宋" w:cs="仿宋"/>
          <w:kern w:val="2"/>
        </w:rPr>
        <w:t>82</w:t>
      </w:r>
      <w:r>
        <w:rPr>
          <w:rFonts w:hint="eastAsia" w:ascii="仿宋" w:hAnsi="仿宋" w:eastAsia="仿宋" w:cs="仿宋"/>
          <w:kern w:val="2"/>
        </w:rPr>
        <w:t>页</w:t>
      </w:r>
      <w:r>
        <w:rPr>
          <w:rFonts w:ascii="仿宋" w:hAnsi="仿宋" w:eastAsia="仿宋" w:cs="仿宋"/>
          <w:kern w:val="2"/>
        </w:rPr>
        <w:t>）</w:t>
      </w:r>
      <w:r>
        <w:rPr>
          <w:rFonts w:hint="eastAsia" w:ascii="仿宋" w:hAnsi="仿宋" w:eastAsia="仿宋" w:cs="仿宋"/>
          <w:kern w:val="2"/>
          <w:lang w:val="en-US" w:eastAsia="zh-CN"/>
        </w:rPr>
        <w:t>和</w:t>
      </w:r>
      <w:r>
        <w:rPr>
          <w:rFonts w:hint="eastAsia" w:ascii="仿宋" w:hAnsi="仿宋" w:eastAsia="仿宋" w:cs="仿宋"/>
        </w:rPr>
        <w:t>《QB/T 2488-2006 化妆品用芦荟汁、粉》</w:t>
      </w:r>
      <w:r>
        <w:rPr>
          <w:rFonts w:hint="eastAsia" w:ascii="仿宋" w:hAnsi="仿宋" w:eastAsia="仿宋" w:cs="仿宋"/>
          <w:lang w:eastAsia="zh-CN"/>
        </w:rPr>
        <w:t>（</w:t>
      </w:r>
      <w:r>
        <w:rPr>
          <w:rFonts w:hint="eastAsia" w:ascii="仿宋" w:hAnsi="仿宋" w:eastAsia="仿宋" w:cs="仿宋"/>
          <w:lang w:val="en-US" w:eastAsia="zh-CN"/>
        </w:rPr>
        <w:t>验证报告附后</w:t>
      </w:r>
      <w:r>
        <w:rPr>
          <w:rFonts w:hint="eastAsia" w:ascii="仿宋" w:hAnsi="仿宋" w:eastAsia="仿宋" w:cs="仿宋"/>
          <w:lang w:eastAsia="zh-CN"/>
        </w:rPr>
        <w:t>）</w:t>
      </w:r>
      <w:r>
        <w:rPr>
          <w:rFonts w:hint="eastAsia" w:ascii="仿宋" w:hAnsi="仿宋" w:eastAsia="仿宋" w:cs="仿宋"/>
          <w:sz w:val="24"/>
          <w:szCs w:val="24"/>
        </w:rPr>
        <w:t>，根据《中华人民共和国药典》2</w:t>
      </w:r>
      <w:r>
        <w:rPr>
          <w:rFonts w:ascii="仿宋" w:hAnsi="仿宋" w:eastAsia="仿宋" w:cs="仿宋"/>
          <w:sz w:val="24"/>
          <w:szCs w:val="24"/>
        </w:rPr>
        <w:t>015</w:t>
      </w:r>
      <w:r>
        <w:rPr>
          <w:rFonts w:hint="eastAsia" w:ascii="仿宋" w:hAnsi="仿宋" w:eastAsia="仿宋" w:cs="仿宋"/>
          <w:sz w:val="24"/>
          <w:szCs w:val="24"/>
        </w:rPr>
        <w:t>版四部通则制定农药残留量的标准和方法；依据《化妆品安全技术规范》2015版中制定重金属和微生物的标准与方法。</w:t>
      </w:r>
    </w:p>
    <w:p>
      <w:pPr>
        <w:ind w:firstLine="420" w:firstLineChars="175"/>
        <w:rPr>
          <w:rFonts w:ascii="仿宋" w:hAnsi="仿宋" w:eastAsia="仿宋" w:cs="仿宋"/>
          <w:kern w:val="0"/>
          <w:sz w:val="24"/>
          <w:szCs w:val="24"/>
        </w:rPr>
      </w:pPr>
      <w:r>
        <w:rPr>
          <w:rFonts w:hint="eastAsia" w:ascii="仿宋" w:hAnsi="仿宋" w:eastAsia="仿宋" w:cs="仿宋"/>
          <w:kern w:val="0"/>
          <w:sz w:val="24"/>
          <w:szCs w:val="24"/>
        </w:rPr>
        <w:t>本标准遵从在保证化妆品安全和原料有效的前提下兼顾国内实际生产状况的原则。</w:t>
      </w:r>
    </w:p>
    <w:p>
      <w:pPr>
        <w:ind w:hanging="300"/>
        <w:rPr>
          <w:rFonts w:ascii="华文中宋" w:hAnsi="华文中宋" w:eastAsia="华文中宋" w:cs="华文中宋"/>
          <w:color w:val="000000"/>
          <w:sz w:val="24"/>
          <w:szCs w:val="24"/>
        </w:rPr>
      </w:pPr>
      <w:r>
        <w:rPr>
          <w:rFonts w:ascii="华文中宋" w:hAnsi="华文中宋" w:eastAsia="华文中宋" w:cs="华文中宋"/>
          <w:color w:val="000000"/>
          <w:sz w:val="24"/>
          <w:szCs w:val="24"/>
        </w:rPr>
        <w:drawing>
          <wp:anchor distT="0" distB="0" distL="114300" distR="114300" simplePos="0" relativeHeight="251659264" behindDoc="0" locked="0" layoutInCell="1" allowOverlap="1">
            <wp:simplePos x="0" y="0"/>
            <wp:positionH relativeFrom="margin">
              <wp:align>left</wp:align>
            </wp:positionH>
            <wp:positionV relativeFrom="paragraph">
              <wp:posOffset>100330</wp:posOffset>
            </wp:positionV>
            <wp:extent cx="6157595" cy="2635885"/>
            <wp:effectExtent l="0" t="0" r="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6157595" cy="2635885"/>
                    </a:xfrm>
                    <a:prstGeom prst="rect">
                      <a:avLst/>
                    </a:prstGeom>
                  </pic:spPr>
                </pic:pic>
              </a:graphicData>
            </a:graphic>
          </wp:anchor>
        </w:drawing>
      </w:r>
    </w:p>
    <w:p>
      <w:pPr>
        <w:ind w:hanging="300"/>
        <w:rPr>
          <w:rFonts w:ascii="华文中宋" w:hAnsi="华文中宋" w:eastAsia="华文中宋" w:cs="华文中宋"/>
          <w:color w:val="000000"/>
          <w:sz w:val="24"/>
          <w:szCs w:val="24"/>
        </w:rPr>
      </w:pPr>
      <w:r>
        <w:rPr>
          <w:rFonts w:hint="eastAsia" w:ascii="华文中宋" w:hAnsi="华文中宋" w:eastAsia="华文中宋" w:cs="华文中宋"/>
          <w:color w:val="000000"/>
          <w:sz w:val="24"/>
          <w:szCs w:val="24"/>
        </w:rPr>
        <w:t>六、征求意见的采纳情况（附《征求意见汇总处理表》、重大意见分歧的处理结果和依据）</w:t>
      </w:r>
    </w:p>
    <w:p>
      <w:pPr>
        <w:ind w:hanging="300"/>
        <w:rPr>
          <w:rFonts w:ascii="华文中宋" w:hAnsi="华文中宋" w:eastAsia="华文中宋" w:cs="华文中宋"/>
          <w:color w:val="000000"/>
          <w:sz w:val="24"/>
          <w:szCs w:val="24"/>
        </w:rPr>
      </w:pPr>
      <w:r>
        <w:rPr>
          <w:rFonts w:hint="eastAsia" w:ascii="华文中宋" w:hAnsi="华文中宋" w:eastAsia="华文中宋" w:cs="华文中宋"/>
          <w:color w:val="000000"/>
          <w:sz w:val="24"/>
          <w:szCs w:val="24"/>
        </w:rPr>
        <w:t>七、标准实施日期和实施建议</w:t>
      </w:r>
    </w:p>
    <w:p>
      <w:pPr>
        <w:ind w:firstLine="420" w:firstLineChars="175"/>
        <w:rPr>
          <w:rFonts w:ascii="仿宋" w:hAnsi="仿宋" w:eastAsia="仿宋" w:cs="仿宋"/>
          <w:kern w:val="0"/>
          <w:sz w:val="24"/>
          <w:szCs w:val="24"/>
        </w:rPr>
      </w:pPr>
      <w:r>
        <w:rPr>
          <w:rFonts w:hint="eastAsia" w:ascii="仿宋" w:hAnsi="仿宋" w:eastAsia="仿宋" w:cs="仿宋"/>
          <w:kern w:val="0"/>
          <w:sz w:val="24"/>
          <w:szCs w:val="24"/>
        </w:rPr>
        <w:t>建议本标准批准发布</w:t>
      </w:r>
      <w:r>
        <w:rPr>
          <w:rFonts w:hint="eastAsia" w:ascii="仿宋" w:hAnsi="仿宋" w:eastAsia="仿宋" w:cs="仿宋"/>
          <w:kern w:val="0"/>
          <w:sz w:val="24"/>
          <w:szCs w:val="24"/>
          <w:lang w:val="en-US" w:eastAsia="zh-CN"/>
        </w:rPr>
        <w:t>30日</w:t>
      </w:r>
      <w:r>
        <w:rPr>
          <w:rFonts w:hint="eastAsia" w:ascii="仿宋" w:hAnsi="仿宋" w:eastAsia="仿宋" w:cs="仿宋"/>
          <w:kern w:val="0"/>
          <w:sz w:val="24"/>
          <w:szCs w:val="24"/>
        </w:rPr>
        <w:t>后实施。</w:t>
      </w:r>
    </w:p>
    <w:p>
      <w:pPr>
        <w:ind w:hanging="300"/>
        <w:rPr>
          <w:rFonts w:hint="eastAsia" w:ascii="华文中宋" w:hAnsi="华文中宋" w:eastAsia="华文中宋" w:cs="华文中宋"/>
          <w:color w:val="000000"/>
          <w:sz w:val="24"/>
          <w:szCs w:val="24"/>
        </w:rPr>
      </w:pPr>
      <w:r>
        <w:rPr>
          <w:rFonts w:hint="eastAsia" w:ascii="华文中宋" w:hAnsi="华文中宋" w:eastAsia="华文中宋" w:cs="华文中宋"/>
          <w:color w:val="000000"/>
          <w:sz w:val="24"/>
          <w:szCs w:val="24"/>
        </w:rPr>
        <w:t>八、其他需要说明的事项（含涉及专利情况说明）</w:t>
      </w:r>
    </w:p>
    <w:p>
      <w:pPr>
        <w:ind w:firstLine="420" w:firstLineChars="175"/>
        <w:rPr>
          <w:rFonts w:hint="eastAsia" w:ascii="仿宋" w:hAnsi="仿宋" w:eastAsia="仿宋" w:cs="仿宋"/>
          <w:kern w:val="0"/>
          <w:sz w:val="24"/>
          <w:szCs w:val="24"/>
          <w:lang w:val="en-US" w:eastAsia="zh-CN"/>
        </w:rPr>
        <w:sectPr>
          <w:footerReference r:id="rId4" w:type="default"/>
          <w:pgSz w:w="11907" w:h="16840"/>
          <w:pgMar w:top="1418" w:right="1191" w:bottom="1418" w:left="1089" w:header="851" w:footer="992" w:gutter="0"/>
          <w:cols w:space="720" w:num="1"/>
          <w:docGrid w:linePitch="312" w:charSpace="0"/>
        </w:sectPr>
      </w:pPr>
      <w:r>
        <w:rPr>
          <w:rFonts w:hint="eastAsia" w:ascii="仿宋" w:hAnsi="仿宋" w:eastAsia="仿宋" w:cs="仿宋"/>
          <w:kern w:val="0"/>
          <w:sz w:val="24"/>
          <w:szCs w:val="24"/>
          <w:lang w:val="en-US" w:eastAsia="zh-CN"/>
        </w:rPr>
        <w:t>目前铁皮石斛的专属性研究较少</w:t>
      </w:r>
      <w:r>
        <w:rPr>
          <w:rStyle w:val="12"/>
          <w:rFonts w:hint="eastAsia" w:ascii="仿宋" w:hAnsi="仿宋" w:eastAsia="仿宋" w:cs="仿宋"/>
          <w:kern w:val="0"/>
          <w:sz w:val="24"/>
          <w:szCs w:val="24"/>
          <w:lang w:val="en-US" w:eastAsia="zh-CN"/>
        </w:rPr>
        <w:footnoteReference w:id="0"/>
      </w:r>
      <w:r>
        <w:rPr>
          <w:rFonts w:hint="eastAsia" w:ascii="仿宋" w:hAnsi="仿宋" w:eastAsia="仿宋" w:cs="仿宋"/>
          <w:kern w:val="0"/>
          <w:sz w:val="24"/>
          <w:szCs w:val="24"/>
          <w:lang w:val="en-US" w:eastAsia="zh-CN"/>
        </w:rPr>
        <w:t>，基于铁皮石斛多糖结构和性质的研究现状以及相关的研究和检测方法复杂性（需要大型仪器设备，检测成本高，不利于工业化应用），本标准在制定时，尚未对铁皮石斛特征性多糖制定相关指标，后续本标准制定的研究单位会继续联合开展相关的研究，根据研究结果再对本标准进行改善。</w:t>
      </w:r>
      <w:bookmarkStart w:id="0" w:name="_GoBack"/>
      <w:bookmarkEnd w:id="0"/>
    </w:p>
    <w:p>
      <w:pPr>
        <w:spacing w:line="360" w:lineRule="auto"/>
        <w:ind w:firstLine="643" w:firstLineChars="200"/>
        <w:jc w:val="center"/>
        <w:rPr>
          <w:rFonts w:hint="eastAsia"/>
          <w:b/>
          <w:sz w:val="32"/>
          <w:szCs w:val="32"/>
          <w:lang w:val="en-US" w:eastAsia="zh-CN"/>
        </w:rPr>
      </w:pPr>
      <w:r>
        <w:rPr>
          <w:rFonts w:hint="eastAsia"/>
          <w:b/>
          <w:sz w:val="32"/>
          <w:szCs w:val="32"/>
          <w:lang w:val="en-US" w:eastAsia="zh-CN"/>
        </w:rPr>
        <w:t>验证报告</w:t>
      </w:r>
    </w:p>
    <w:p>
      <w:pPr>
        <w:spacing w:line="360" w:lineRule="auto"/>
        <w:ind w:firstLine="422" w:firstLineChars="200"/>
        <w:jc w:val="both"/>
        <w:rPr>
          <w:b/>
        </w:rPr>
      </w:pPr>
      <w:r>
        <w:rPr>
          <w:b/>
        </w:rPr>
        <w:t>1.试剂与仪器</w:t>
      </w:r>
    </w:p>
    <w:p>
      <w:pPr>
        <w:spacing w:line="360" w:lineRule="auto"/>
        <w:ind w:firstLine="420" w:firstLineChars="200"/>
        <w:jc w:val="both"/>
      </w:pPr>
      <w:r>
        <w:t>1.1试剂</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1"/>
        <w:gridCol w:w="3224"/>
        <w:gridCol w:w="4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pPr>
              <w:spacing w:line="360" w:lineRule="auto"/>
              <w:jc w:val="center"/>
            </w:pPr>
            <w:r>
              <w:rPr>
                <w:rFonts w:hint="eastAsia"/>
              </w:rPr>
              <w:t>试剂名称</w:t>
            </w:r>
          </w:p>
        </w:tc>
        <w:tc>
          <w:tcPr>
            <w:tcW w:w="3260" w:type="dxa"/>
            <w:vAlign w:val="center"/>
          </w:tcPr>
          <w:p>
            <w:pPr>
              <w:spacing w:line="360" w:lineRule="auto"/>
              <w:jc w:val="center"/>
            </w:pPr>
            <w:r>
              <w:rPr>
                <w:rFonts w:hint="eastAsia"/>
              </w:rPr>
              <w:t>规格</w:t>
            </w:r>
          </w:p>
        </w:tc>
        <w:tc>
          <w:tcPr>
            <w:tcW w:w="4467" w:type="dxa"/>
            <w:vAlign w:val="center"/>
          </w:tcPr>
          <w:p>
            <w:pPr>
              <w:spacing w:line="360" w:lineRule="auto"/>
              <w:jc w:val="center"/>
            </w:pPr>
            <w:r>
              <w:rPr>
                <w:rFonts w:hint="eastAsia"/>
              </w:rPr>
              <w:t>厂家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pPr>
              <w:spacing w:line="360" w:lineRule="auto"/>
              <w:jc w:val="center"/>
            </w:pPr>
            <w:r>
              <w:t>浓硫酸</w:t>
            </w:r>
          </w:p>
        </w:tc>
        <w:tc>
          <w:tcPr>
            <w:tcW w:w="3260" w:type="dxa"/>
            <w:vAlign w:val="center"/>
          </w:tcPr>
          <w:p>
            <w:pPr>
              <w:spacing w:line="360" w:lineRule="auto"/>
              <w:jc w:val="center"/>
            </w:pPr>
            <w:r>
              <w:rPr>
                <w:rFonts w:hint="eastAsia"/>
              </w:rPr>
              <w:t>500ml/瓶，分析纯</w:t>
            </w:r>
          </w:p>
        </w:tc>
        <w:tc>
          <w:tcPr>
            <w:tcW w:w="4467" w:type="dxa"/>
            <w:vAlign w:val="center"/>
          </w:tcPr>
          <w:p>
            <w:pPr>
              <w:spacing w:line="360" w:lineRule="auto"/>
              <w:jc w:val="center"/>
            </w:pPr>
            <w:r>
              <w:t>国药集团化学试剂有限公司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pPr>
              <w:spacing w:line="360" w:lineRule="auto"/>
              <w:jc w:val="center"/>
            </w:pPr>
            <w:r>
              <w:t>苯酚</w:t>
            </w:r>
          </w:p>
        </w:tc>
        <w:tc>
          <w:tcPr>
            <w:tcW w:w="3260" w:type="dxa"/>
            <w:vAlign w:val="center"/>
          </w:tcPr>
          <w:p>
            <w:pPr>
              <w:spacing w:line="360" w:lineRule="auto"/>
              <w:jc w:val="center"/>
            </w:pPr>
            <w:r>
              <w:rPr>
                <w:rFonts w:hint="eastAsia"/>
              </w:rPr>
              <w:t>500g/瓶，分析纯</w:t>
            </w:r>
          </w:p>
        </w:tc>
        <w:tc>
          <w:tcPr>
            <w:tcW w:w="4467" w:type="dxa"/>
            <w:vAlign w:val="center"/>
          </w:tcPr>
          <w:p>
            <w:pPr>
              <w:spacing w:line="360" w:lineRule="auto"/>
              <w:jc w:val="center"/>
            </w:pPr>
            <w:r>
              <w:t>国药集团化学试剂有限公司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pPr>
              <w:spacing w:line="360" w:lineRule="auto"/>
              <w:jc w:val="center"/>
            </w:pPr>
            <w:r>
              <w:rPr>
                <w:rFonts w:hint="eastAsia"/>
              </w:rPr>
              <w:t>无水葡萄糖</w:t>
            </w:r>
          </w:p>
        </w:tc>
        <w:tc>
          <w:tcPr>
            <w:tcW w:w="3260" w:type="dxa"/>
            <w:vAlign w:val="center"/>
          </w:tcPr>
          <w:p>
            <w:pPr>
              <w:spacing w:line="360" w:lineRule="auto"/>
              <w:jc w:val="center"/>
            </w:pPr>
            <w:r>
              <w:rPr>
                <w:rFonts w:hint="eastAsia"/>
              </w:rPr>
              <w:t>500g/瓶，分析纯</w:t>
            </w:r>
          </w:p>
        </w:tc>
        <w:tc>
          <w:tcPr>
            <w:tcW w:w="4467" w:type="dxa"/>
            <w:vAlign w:val="center"/>
          </w:tcPr>
          <w:p>
            <w:pPr>
              <w:spacing w:line="360" w:lineRule="auto"/>
              <w:jc w:val="center"/>
            </w:pPr>
            <w:r>
              <w:t>国药集团化学试剂有限公司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pPr>
              <w:spacing w:line="360" w:lineRule="auto"/>
              <w:jc w:val="center"/>
            </w:pPr>
            <w:r>
              <w:rPr>
                <w:rFonts w:hint="eastAsia"/>
              </w:rPr>
              <w:t>95%乙醇</w:t>
            </w:r>
          </w:p>
        </w:tc>
        <w:tc>
          <w:tcPr>
            <w:tcW w:w="3260" w:type="dxa"/>
            <w:vAlign w:val="center"/>
          </w:tcPr>
          <w:p>
            <w:pPr>
              <w:spacing w:line="360" w:lineRule="auto"/>
              <w:jc w:val="center"/>
            </w:pPr>
            <w:r>
              <w:rPr>
                <w:rFonts w:hint="eastAsia"/>
              </w:rPr>
              <w:t>500ml/瓶，分析纯</w:t>
            </w:r>
          </w:p>
        </w:tc>
        <w:tc>
          <w:tcPr>
            <w:tcW w:w="4467" w:type="dxa"/>
            <w:vAlign w:val="center"/>
          </w:tcPr>
          <w:p>
            <w:pPr>
              <w:spacing w:line="360" w:lineRule="auto"/>
              <w:jc w:val="center"/>
            </w:pPr>
            <w:r>
              <w:t>国药集团化学试剂有限公司</w:t>
            </w:r>
          </w:p>
        </w:tc>
      </w:tr>
    </w:tbl>
    <w:p>
      <w:pPr>
        <w:spacing w:line="360" w:lineRule="auto"/>
        <w:ind w:firstLine="420" w:firstLineChars="200"/>
        <w:jc w:val="both"/>
      </w:pPr>
      <w:r>
        <w:t>1.2仪器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0"/>
        <w:gridCol w:w="3233"/>
        <w:gridCol w:w="4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vAlign w:val="center"/>
          </w:tcPr>
          <w:p>
            <w:pPr>
              <w:spacing w:line="360" w:lineRule="auto"/>
              <w:jc w:val="center"/>
            </w:pPr>
            <w:r>
              <w:rPr>
                <w:rFonts w:hint="eastAsia"/>
              </w:rPr>
              <w:t>仪器名称</w:t>
            </w:r>
          </w:p>
        </w:tc>
        <w:tc>
          <w:tcPr>
            <w:tcW w:w="3260" w:type="dxa"/>
            <w:vAlign w:val="center"/>
          </w:tcPr>
          <w:p>
            <w:pPr>
              <w:spacing w:line="360" w:lineRule="auto"/>
              <w:jc w:val="center"/>
            </w:pPr>
            <w:r>
              <w:rPr>
                <w:rFonts w:hint="eastAsia"/>
              </w:rPr>
              <w:t>型号</w:t>
            </w:r>
          </w:p>
        </w:tc>
        <w:tc>
          <w:tcPr>
            <w:tcW w:w="4467" w:type="dxa"/>
            <w:vAlign w:val="center"/>
          </w:tcPr>
          <w:p>
            <w:pPr>
              <w:spacing w:line="360" w:lineRule="auto"/>
              <w:jc w:val="center"/>
            </w:pPr>
            <w:r>
              <w:rPr>
                <w:rFonts w:hint="eastAsia"/>
              </w:rPr>
              <w:t>厂家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vAlign w:val="center"/>
          </w:tcPr>
          <w:p>
            <w:pPr>
              <w:spacing w:line="360" w:lineRule="auto"/>
              <w:jc w:val="center"/>
            </w:pPr>
            <w:r>
              <w:rPr>
                <w:rFonts w:hint="eastAsia"/>
              </w:rPr>
              <w:t>紫外</w:t>
            </w:r>
            <w:r>
              <w:t>分光光度计</w:t>
            </w:r>
          </w:p>
        </w:tc>
        <w:tc>
          <w:tcPr>
            <w:tcW w:w="3260" w:type="dxa"/>
            <w:vAlign w:val="center"/>
          </w:tcPr>
          <w:p>
            <w:pPr>
              <w:spacing w:line="360" w:lineRule="auto"/>
              <w:jc w:val="center"/>
            </w:pPr>
            <w:r>
              <w:t>TU-1810</w:t>
            </w:r>
            <w:r>
              <w:rPr>
                <w:rFonts w:hint="eastAsia"/>
              </w:rPr>
              <w:t>PC</w:t>
            </w:r>
          </w:p>
        </w:tc>
        <w:tc>
          <w:tcPr>
            <w:tcW w:w="4467" w:type="dxa"/>
            <w:vAlign w:val="center"/>
          </w:tcPr>
          <w:p>
            <w:pPr>
              <w:spacing w:line="360" w:lineRule="auto"/>
              <w:jc w:val="center"/>
            </w:pPr>
            <w:r>
              <w:rPr>
                <w:rFonts w:hint="eastAsia"/>
              </w:rPr>
              <w:t>北京普析通用仪器有限责任公司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vAlign w:val="center"/>
          </w:tcPr>
          <w:p>
            <w:pPr>
              <w:spacing w:line="360" w:lineRule="auto"/>
              <w:jc w:val="center"/>
            </w:pPr>
            <w:r>
              <w:rPr>
                <w:rFonts w:hint="eastAsia"/>
              </w:rPr>
              <w:t>固式混匀仪</w:t>
            </w:r>
          </w:p>
        </w:tc>
        <w:tc>
          <w:tcPr>
            <w:tcW w:w="3260" w:type="dxa"/>
            <w:vAlign w:val="center"/>
          </w:tcPr>
          <w:p>
            <w:pPr>
              <w:spacing w:line="360" w:lineRule="auto"/>
              <w:jc w:val="center"/>
            </w:pPr>
            <w:r>
              <w:t>MX-F</w:t>
            </w:r>
          </w:p>
        </w:tc>
        <w:tc>
          <w:tcPr>
            <w:tcW w:w="4467" w:type="dxa"/>
            <w:vAlign w:val="center"/>
          </w:tcPr>
          <w:p>
            <w:pPr>
              <w:spacing w:line="360" w:lineRule="auto"/>
              <w:jc w:val="center"/>
            </w:pPr>
            <w:r>
              <w:rPr>
                <w:rFonts w:hint="eastAsia"/>
              </w:rPr>
              <w:t>京君龙实验仪器（北京）有限公司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vAlign w:val="center"/>
          </w:tcPr>
          <w:p>
            <w:pPr>
              <w:spacing w:line="360" w:lineRule="auto"/>
              <w:jc w:val="center"/>
            </w:pPr>
            <w:r>
              <w:t>分析天平</w:t>
            </w:r>
          </w:p>
        </w:tc>
        <w:tc>
          <w:tcPr>
            <w:tcW w:w="3260" w:type="dxa"/>
            <w:vAlign w:val="center"/>
          </w:tcPr>
          <w:p>
            <w:pPr>
              <w:spacing w:line="360" w:lineRule="auto"/>
              <w:jc w:val="center"/>
            </w:pPr>
            <w:r>
              <w:t>ME</w:t>
            </w:r>
            <w:r>
              <w:rPr>
                <w:rFonts w:hint="eastAsia"/>
              </w:rPr>
              <w:t>204</w:t>
            </w:r>
          </w:p>
        </w:tc>
        <w:tc>
          <w:tcPr>
            <w:tcW w:w="4467" w:type="dxa"/>
            <w:vAlign w:val="center"/>
          </w:tcPr>
          <w:p>
            <w:pPr>
              <w:spacing w:line="360" w:lineRule="auto"/>
              <w:jc w:val="center"/>
            </w:pPr>
            <w:r>
              <w:rPr>
                <w:rFonts w:hint="eastAsia"/>
              </w:rPr>
              <w:t>梅特勒托利多仪器（上海）有限公司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vAlign w:val="center"/>
          </w:tcPr>
          <w:p>
            <w:pPr>
              <w:spacing w:line="360" w:lineRule="auto"/>
              <w:jc w:val="center"/>
            </w:pPr>
            <w:r>
              <w:t>移液枪</w:t>
            </w:r>
          </w:p>
        </w:tc>
        <w:tc>
          <w:tcPr>
            <w:tcW w:w="3260" w:type="dxa"/>
            <w:vAlign w:val="center"/>
          </w:tcPr>
          <w:p>
            <w:pPr>
              <w:spacing w:line="360" w:lineRule="auto"/>
              <w:jc w:val="center"/>
            </w:pPr>
            <w:r>
              <w:t>0.5-5ml</w:t>
            </w:r>
          </w:p>
        </w:tc>
        <w:tc>
          <w:tcPr>
            <w:tcW w:w="4467" w:type="dxa"/>
            <w:vAlign w:val="center"/>
          </w:tcPr>
          <w:p>
            <w:pPr>
              <w:spacing w:line="360" w:lineRule="auto"/>
              <w:jc w:val="center"/>
            </w:pPr>
            <w:r>
              <w:rPr>
                <w:rFonts w:hint="eastAsia"/>
              </w:rPr>
              <w:t>德国艾本德（eppendorf）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vAlign w:val="center"/>
          </w:tcPr>
          <w:p>
            <w:pPr>
              <w:spacing w:line="360" w:lineRule="auto"/>
              <w:jc w:val="center"/>
            </w:pPr>
            <w:r>
              <w:t>移液枪</w:t>
            </w:r>
          </w:p>
        </w:tc>
        <w:tc>
          <w:tcPr>
            <w:tcW w:w="3260" w:type="dxa"/>
            <w:vAlign w:val="center"/>
          </w:tcPr>
          <w:p>
            <w:pPr>
              <w:spacing w:line="360" w:lineRule="auto"/>
              <w:jc w:val="center"/>
            </w:pPr>
            <w:r>
              <w:t>100-1000ul</w:t>
            </w:r>
          </w:p>
        </w:tc>
        <w:tc>
          <w:tcPr>
            <w:tcW w:w="4467" w:type="dxa"/>
            <w:vAlign w:val="center"/>
          </w:tcPr>
          <w:p>
            <w:pPr>
              <w:spacing w:line="360" w:lineRule="auto"/>
              <w:jc w:val="center"/>
            </w:pPr>
            <w:r>
              <w:rPr>
                <w:rFonts w:hint="eastAsia"/>
              </w:rPr>
              <w:t>德国艾本德（eppendorf）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vAlign w:val="center"/>
          </w:tcPr>
          <w:p>
            <w:pPr>
              <w:spacing w:line="360" w:lineRule="auto"/>
              <w:jc w:val="center"/>
            </w:pPr>
            <w:r>
              <w:t>温度计</w:t>
            </w:r>
          </w:p>
        </w:tc>
        <w:tc>
          <w:tcPr>
            <w:tcW w:w="3260" w:type="dxa"/>
            <w:vAlign w:val="center"/>
          </w:tcPr>
          <w:p>
            <w:pPr>
              <w:spacing w:line="360" w:lineRule="auto"/>
              <w:jc w:val="center"/>
            </w:pPr>
            <w:r>
              <w:rPr>
                <w:rFonts w:hint="eastAsia"/>
              </w:rPr>
              <w:t>0-100℃</w:t>
            </w:r>
          </w:p>
        </w:tc>
        <w:tc>
          <w:tcPr>
            <w:tcW w:w="4467" w:type="dxa"/>
            <w:vAlign w:val="center"/>
          </w:tcPr>
          <w:p>
            <w:pPr>
              <w:spacing w:line="360" w:lineRule="auto"/>
              <w:jc w:val="center"/>
            </w:pPr>
            <w:r>
              <w:t>国药集团化学试剂有限公司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vAlign w:val="center"/>
          </w:tcPr>
          <w:p>
            <w:pPr>
              <w:spacing w:line="360" w:lineRule="auto"/>
              <w:jc w:val="center"/>
            </w:pPr>
            <w:r>
              <w:t>试管</w:t>
            </w:r>
          </w:p>
        </w:tc>
        <w:tc>
          <w:tcPr>
            <w:tcW w:w="3260" w:type="dxa"/>
            <w:vAlign w:val="center"/>
          </w:tcPr>
          <w:p>
            <w:pPr>
              <w:spacing w:line="360" w:lineRule="auto"/>
              <w:jc w:val="center"/>
            </w:pPr>
            <w:r>
              <w:rPr>
                <w:rFonts w:hint="eastAsia"/>
              </w:rPr>
              <w:t>18*180mm</w:t>
            </w:r>
          </w:p>
        </w:tc>
        <w:tc>
          <w:tcPr>
            <w:tcW w:w="4467" w:type="dxa"/>
            <w:vAlign w:val="center"/>
          </w:tcPr>
          <w:p>
            <w:pPr>
              <w:spacing w:line="360" w:lineRule="auto"/>
              <w:jc w:val="center"/>
            </w:pPr>
            <w:r>
              <w:t>国药集团化学试剂有限公司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vAlign w:val="center"/>
          </w:tcPr>
          <w:p>
            <w:pPr>
              <w:spacing w:line="360" w:lineRule="auto"/>
              <w:jc w:val="center"/>
            </w:pPr>
            <w:r>
              <w:t>烧杯</w:t>
            </w:r>
          </w:p>
        </w:tc>
        <w:tc>
          <w:tcPr>
            <w:tcW w:w="3260" w:type="dxa"/>
            <w:vAlign w:val="center"/>
          </w:tcPr>
          <w:p>
            <w:pPr>
              <w:spacing w:line="360" w:lineRule="auto"/>
              <w:jc w:val="center"/>
            </w:pPr>
            <w:r>
              <w:t>100mL</w:t>
            </w:r>
            <w:r>
              <w:rPr>
                <w:rFonts w:hint="eastAsia"/>
              </w:rPr>
              <w:t>/250ml</w:t>
            </w:r>
          </w:p>
        </w:tc>
        <w:tc>
          <w:tcPr>
            <w:tcW w:w="4467" w:type="dxa"/>
            <w:vAlign w:val="center"/>
          </w:tcPr>
          <w:p>
            <w:pPr>
              <w:spacing w:line="360" w:lineRule="auto"/>
              <w:jc w:val="center"/>
            </w:pPr>
            <w:r>
              <w:t>国药集团化学试剂有限公司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vAlign w:val="center"/>
          </w:tcPr>
          <w:p>
            <w:pPr>
              <w:spacing w:line="360" w:lineRule="auto"/>
              <w:jc w:val="center"/>
            </w:pPr>
            <w:r>
              <w:t>容量瓶</w:t>
            </w:r>
          </w:p>
        </w:tc>
        <w:tc>
          <w:tcPr>
            <w:tcW w:w="3260" w:type="dxa"/>
            <w:vAlign w:val="center"/>
          </w:tcPr>
          <w:p>
            <w:pPr>
              <w:spacing w:line="360" w:lineRule="auto"/>
              <w:jc w:val="center"/>
            </w:pPr>
            <w:r>
              <w:rPr>
                <w:rFonts w:hint="eastAsia"/>
              </w:rPr>
              <w:t>50ml/100ml/250ml</w:t>
            </w:r>
          </w:p>
        </w:tc>
        <w:tc>
          <w:tcPr>
            <w:tcW w:w="4467" w:type="dxa"/>
            <w:vAlign w:val="center"/>
          </w:tcPr>
          <w:p>
            <w:pPr>
              <w:spacing w:line="360" w:lineRule="auto"/>
              <w:jc w:val="center"/>
            </w:pPr>
            <w:r>
              <w:t>国药集团化学试剂有限公司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vAlign w:val="center"/>
          </w:tcPr>
          <w:p>
            <w:pPr>
              <w:spacing w:line="360" w:lineRule="auto"/>
              <w:jc w:val="center"/>
            </w:pPr>
            <w:r>
              <w:t>移液管</w:t>
            </w:r>
          </w:p>
        </w:tc>
        <w:tc>
          <w:tcPr>
            <w:tcW w:w="3260" w:type="dxa"/>
            <w:vAlign w:val="center"/>
          </w:tcPr>
          <w:p>
            <w:pPr>
              <w:spacing w:line="360" w:lineRule="auto"/>
              <w:jc w:val="center"/>
            </w:pPr>
            <w:r>
              <w:rPr>
                <w:rFonts w:hint="eastAsia"/>
              </w:rPr>
              <w:t>5ml</w:t>
            </w:r>
          </w:p>
        </w:tc>
        <w:tc>
          <w:tcPr>
            <w:tcW w:w="4467" w:type="dxa"/>
            <w:vAlign w:val="center"/>
          </w:tcPr>
          <w:p>
            <w:pPr>
              <w:spacing w:line="360" w:lineRule="auto"/>
              <w:jc w:val="center"/>
            </w:pPr>
            <w:r>
              <w:t>国药集团化学试剂有限公司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vAlign w:val="center"/>
          </w:tcPr>
          <w:p>
            <w:pPr>
              <w:spacing w:line="360" w:lineRule="auto"/>
              <w:jc w:val="center"/>
            </w:pPr>
            <w:r>
              <w:t>量筒</w:t>
            </w:r>
          </w:p>
        </w:tc>
        <w:tc>
          <w:tcPr>
            <w:tcW w:w="3260" w:type="dxa"/>
            <w:vAlign w:val="center"/>
          </w:tcPr>
          <w:p>
            <w:pPr>
              <w:spacing w:line="360" w:lineRule="auto"/>
              <w:jc w:val="center"/>
            </w:pPr>
            <w:r>
              <w:rPr>
                <w:rFonts w:hint="eastAsia"/>
              </w:rPr>
              <w:t>250ml</w:t>
            </w:r>
          </w:p>
        </w:tc>
        <w:tc>
          <w:tcPr>
            <w:tcW w:w="4467" w:type="dxa"/>
            <w:vAlign w:val="center"/>
          </w:tcPr>
          <w:p>
            <w:pPr>
              <w:spacing w:line="360" w:lineRule="auto"/>
              <w:jc w:val="center"/>
            </w:pPr>
            <w:r>
              <w:t>国药集团化学试剂有限公司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vAlign w:val="center"/>
          </w:tcPr>
          <w:p>
            <w:pPr>
              <w:spacing w:line="360" w:lineRule="auto"/>
              <w:jc w:val="center"/>
            </w:pPr>
            <w:r>
              <w:rPr>
                <w:rFonts w:hint="eastAsia"/>
              </w:rPr>
              <w:t>塑料试管帽</w:t>
            </w:r>
          </w:p>
        </w:tc>
        <w:tc>
          <w:tcPr>
            <w:tcW w:w="3260" w:type="dxa"/>
            <w:vAlign w:val="center"/>
          </w:tcPr>
          <w:p>
            <w:pPr>
              <w:spacing w:line="360" w:lineRule="auto"/>
              <w:jc w:val="center"/>
            </w:pPr>
            <w:r>
              <w:rPr>
                <w:rFonts w:hint="eastAsia"/>
              </w:rPr>
              <w:t>/</w:t>
            </w:r>
          </w:p>
        </w:tc>
        <w:tc>
          <w:tcPr>
            <w:tcW w:w="4467" w:type="dxa"/>
            <w:vAlign w:val="center"/>
          </w:tcPr>
          <w:p>
            <w:pPr>
              <w:spacing w:line="360" w:lineRule="auto"/>
              <w:jc w:val="center"/>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vAlign w:val="center"/>
          </w:tcPr>
          <w:p>
            <w:pPr>
              <w:spacing w:line="360" w:lineRule="auto"/>
              <w:jc w:val="center"/>
            </w:pPr>
            <w:r>
              <w:rPr>
                <w:rFonts w:hint="eastAsia"/>
              </w:rPr>
              <w:t>尖底离心管</w:t>
            </w:r>
          </w:p>
        </w:tc>
        <w:tc>
          <w:tcPr>
            <w:tcW w:w="3260" w:type="dxa"/>
            <w:vAlign w:val="center"/>
          </w:tcPr>
          <w:p>
            <w:pPr>
              <w:spacing w:line="360" w:lineRule="auto"/>
              <w:jc w:val="center"/>
            </w:pPr>
            <w:r>
              <w:rPr>
                <w:rFonts w:hint="eastAsia"/>
              </w:rPr>
              <w:t>50ml</w:t>
            </w:r>
          </w:p>
        </w:tc>
        <w:tc>
          <w:tcPr>
            <w:tcW w:w="4467" w:type="dxa"/>
            <w:vAlign w:val="center"/>
          </w:tcPr>
          <w:p>
            <w:pPr>
              <w:spacing w:line="360" w:lineRule="auto"/>
              <w:jc w:val="center"/>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vAlign w:val="center"/>
          </w:tcPr>
          <w:p>
            <w:pPr>
              <w:spacing w:line="360" w:lineRule="auto"/>
              <w:jc w:val="center"/>
            </w:pPr>
            <w:r>
              <w:t>比色皿</w:t>
            </w:r>
          </w:p>
        </w:tc>
        <w:tc>
          <w:tcPr>
            <w:tcW w:w="3260" w:type="dxa"/>
            <w:vAlign w:val="center"/>
          </w:tcPr>
          <w:p>
            <w:pPr>
              <w:spacing w:line="360" w:lineRule="auto"/>
              <w:jc w:val="center"/>
            </w:pPr>
            <w:r>
              <w:t>光程为 1cm</w:t>
            </w:r>
            <w:r>
              <w:rPr>
                <w:spacing w:val="1"/>
              </w:rPr>
              <w:t xml:space="preserve"> </w:t>
            </w:r>
            <w:r>
              <w:t>的玻璃比色皿</w:t>
            </w:r>
          </w:p>
        </w:tc>
        <w:tc>
          <w:tcPr>
            <w:tcW w:w="4467" w:type="dxa"/>
            <w:vAlign w:val="center"/>
          </w:tcPr>
          <w:p>
            <w:pPr>
              <w:spacing w:line="360" w:lineRule="auto"/>
              <w:jc w:val="center"/>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vAlign w:val="center"/>
          </w:tcPr>
          <w:p>
            <w:pPr>
              <w:spacing w:line="360" w:lineRule="auto"/>
              <w:jc w:val="center"/>
            </w:pPr>
            <w:r>
              <w:t>计时器</w:t>
            </w:r>
          </w:p>
        </w:tc>
        <w:tc>
          <w:tcPr>
            <w:tcW w:w="3260" w:type="dxa"/>
            <w:vAlign w:val="center"/>
          </w:tcPr>
          <w:p>
            <w:pPr>
              <w:spacing w:line="360" w:lineRule="auto"/>
              <w:jc w:val="center"/>
            </w:pPr>
            <w:r>
              <w:rPr>
                <w:rFonts w:hint="eastAsia"/>
              </w:rPr>
              <w:t>/</w:t>
            </w:r>
          </w:p>
        </w:tc>
        <w:tc>
          <w:tcPr>
            <w:tcW w:w="4467" w:type="dxa"/>
            <w:vAlign w:val="center"/>
          </w:tcPr>
          <w:p>
            <w:pPr>
              <w:spacing w:line="360" w:lineRule="auto"/>
              <w:jc w:val="center"/>
            </w:pPr>
            <w:r>
              <w:rPr>
                <w:rFonts w:hint="eastAsia"/>
              </w:rPr>
              <w:t>/</w:t>
            </w:r>
          </w:p>
        </w:tc>
      </w:tr>
    </w:tbl>
    <w:p>
      <w:pPr>
        <w:spacing w:line="360" w:lineRule="auto"/>
        <w:ind w:firstLine="420" w:firstLineChars="200"/>
        <w:jc w:val="both"/>
      </w:pPr>
    </w:p>
    <w:p>
      <w:pPr>
        <w:spacing w:line="360" w:lineRule="auto"/>
        <w:ind w:firstLine="422" w:firstLineChars="200"/>
        <w:jc w:val="both"/>
        <w:rPr>
          <w:b/>
          <w:color w:val="000000"/>
        </w:rPr>
      </w:pPr>
      <w:r>
        <w:rPr>
          <w:b/>
          <w:color w:val="000000"/>
        </w:rPr>
        <w:t>2.溶液</w:t>
      </w:r>
    </w:p>
    <w:p>
      <w:pPr>
        <w:spacing w:line="360" w:lineRule="auto"/>
        <w:ind w:firstLine="420" w:firstLineChars="200"/>
        <w:jc w:val="both"/>
        <w:rPr>
          <w:color w:val="000000"/>
        </w:rPr>
      </w:pPr>
      <w:r>
        <w:rPr>
          <w:color w:val="000000"/>
        </w:rPr>
        <w:t>2.1去离子水：电导率≤40us/cm，pH5.0-7.5；</w:t>
      </w:r>
    </w:p>
    <w:p>
      <w:pPr>
        <w:spacing w:line="360" w:lineRule="auto"/>
        <w:ind w:firstLine="420" w:firstLineChars="200"/>
        <w:jc w:val="both"/>
        <w:rPr>
          <w:color w:val="000000"/>
        </w:rPr>
      </w:pPr>
      <w:r>
        <w:rPr>
          <w:color w:val="000000"/>
        </w:rPr>
        <w:t>2</w:t>
      </w:r>
      <w:r>
        <w:rPr>
          <w:rFonts w:hint="eastAsia"/>
          <w:color w:val="000000"/>
        </w:rPr>
        <w:t>.2</w:t>
      </w:r>
      <w:r>
        <w:rPr>
          <w:color w:val="000000"/>
        </w:rPr>
        <w:t>葡萄糖标准溶液</w:t>
      </w:r>
    </w:p>
    <w:p>
      <w:pPr>
        <w:spacing w:line="360" w:lineRule="auto"/>
        <w:ind w:left="210" w:leftChars="100" w:firstLine="420" w:firstLineChars="200"/>
        <w:jc w:val="both"/>
        <w:rPr>
          <w:color w:val="000000"/>
        </w:rPr>
      </w:pPr>
      <w:r>
        <w:rPr>
          <w:color w:val="000000"/>
        </w:rPr>
        <w:t>称取经105</w:t>
      </w:r>
      <w:r>
        <w:rPr>
          <w:rFonts w:hint="eastAsia" w:ascii="宋体" w:hAnsi="宋体" w:eastAsia="宋体" w:cs="宋体"/>
          <w:color w:val="000000"/>
        </w:rPr>
        <w:t>℃</w:t>
      </w:r>
      <w:r>
        <w:rPr>
          <w:color w:val="000000"/>
        </w:rPr>
        <w:t>干燥至恒重的无水葡萄糖50.8mg</w:t>
      </w:r>
      <w:r>
        <w:rPr>
          <w:color w:val="000000"/>
          <w:spacing w:val="-9"/>
        </w:rPr>
        <w:t>，用去离子水溶解</w:t>
      </w:r>
      <w:r>
        <w:rPr>
          <w:rFonts w:hint="eastAsia"/>
          <w:color w:val="000000"/>
          <w:spacing w:val="-9"/>
        </w:rPr>
        <w:t>并</w:t>
      </w:r>
      <w:r>
        <w:rPr>
          <w:color w:val="000000"/>
          <w:spacing w:val="-9"/>
        </w:rPr>
        <w:t>定容于</w:t>
      </w:r>
      <w:r>
        <w:rPr>
          <w:color w:val="000000"/>
          <w:spacing w:val="1"/>
        </w:rPr>
        <w:t>100mL</w:t>
      </w:r>
      <w:r>
        <w:rPr>
          <w:color w:val="000000"/>
        </w:rPr>
        <w:t>容量瓶</w:t>
      </w:r>
      <w:r>
        <w:rPr>
          <w:color w:val="000000"/>
          <w:spacing w:val="-6"/>
        </w:rPr>
        <w:t>中，得浓度为</w:t>
      </w:r>
      <w:r>
        <w:rPr>
          <w:color w:val="000000"/>
        </w:rPr>
        <w:t>0.508mg/mL</w:t>
      </w:r>
      <w:r>
        <w:rPr>
          <w:color w:val="000000"/>
          <w:spacing w:val="-5"/>
        </w:rPr>
        <w:t xml:space="preserve"> </w:t>
      </w:r>
      <w:r>
        <w:rPr>
          <w:color w:val="000000"/>
          <w:spacing w:val="-4"/>
        </w:rPr>
        <w:t>葡萄糖储备液，置于</w:t>
      </w:r>
      <w:r>
        <w:rPr>
          <w:color w:val="000000"/>
        </w:rPr>
        <w:t>4</w:t>
      </w:r>
      <w:r>
        <w:rPr>
          <w:rFonts w:hint="eastAsia" w:ascii="宋体" w:hAnsi="宋体" w:eastAsia="宋体" w:cs="宋体"/>
          <w:color w:val="000000"/>
          <w:spacing w:val="-2"/>
        </w:rPr>
        <w:t>℃</w:t>
      </w:r>
      <w:r>
        <w:rPr>
          <w:color w:val="000000"/>
          <w:spacing w:val="-2"/>
        </w:rPr>
        <w:t>冰箱保存。用移液枪移取葡萄糖储备液</w:t>
      </w:r>
      <w:r>
        <w:rPr>
          <w:color w:val="000000"/>
        </w:rPr>
        <w:t>8.000mL，用去离子水定容于</w:t>
      </w:r>
      <w:r>
        <w:rPr>
          <w:color w:val="000000"/>
          <w:spacing w:val="1"/>
        </w:rPr>
        <w:t>50mL</w:t>
      </w:r>
      <w:r>
        <w:rPr>
          <w:color w:val="000000"/>
          <w:spacing w:val="-6"/>
        </w:rPr>
        <w:t xml:space="preserve"> </w:t>
      </w:r>
      <w:r>
        <w:rPr>
          <w:color w:val="000000"/>
        </w:rPr>
        <w:t>容量瓶中即浓度为0.081</w:t>
      </w:r>
      <w:r>
        <w:rPr>
          <w:rFonts w:hint="eastAsia"/>
          <w:color w:val="000000"/>
        </w:rPr>
        <w:t>28</w:t>
      </w:r>
      <w:r>
        <w:rPr>
          <w:color w:val="000000"/>
        </w:rPr>
        <w:t>mg/mL葡萄糖标准溶液。</w:t>
      </w:r>
    </w:p>
    <w:p>
      <w:pPr>
        <w:spacing w:line="360" w:lineRule="auto"/>
        <w:ind w:firstLine="420" w:firstLineChars="200"/>
        <w:jc w:val="both"/>
        <w:rPr>
          <w:rFonts w:eastAsia="宋体"/>
          <w:color w:val="000000"/>
        </w:rPr>
      </w:pPr>
      <w:r>
        <w:rPr>
          <w:color w:val="000000"/>
        </w:rPr>
        <w:t>2.</w:t>
      </w:r>
      <w:r>
        <w:rPr>
          <w:rFonts w:hint="eastAsia"/>
          <w:color w:val="000000"/>
        </w:rPr>
        <w:t>3</w:t>
      </w:r>
      <w:r>
        <w:rPr>
          <w:color w:val="000000"/>
        </w:rPr>
        <w:t>葡萄糖标准溶液</w:t>
      </w:r>
      <w:r>
        <w:rPr>
          <w:rFonts w:hint="eastAsia" w:ascii="宋体" w:hAnsi="宋体" w:eastAsia="宋体" w:cs="宋体"/>
          <w:color w:val="000000"/>
        </w:rPr>
        <w:t>Ⅰ（回测）</w:t>
      </w:r>
    </w:p>
    <w:p>
      <w:pPr>
        <w:spacing w:line="360" w:lineRule="auto"/>
        <w:ind w:left="210" w:leftChars="100" w:firstLine="420" w:firstLineChars="200"/>
        <w:jc w:val="both"/>
        <w:rPr>
          <w:color w:val="000000"/>
        </w:rPr>
      </w:pPr>
      <w:r>
        <w:rPr>
          <w:color w:val="000000"/>
        </w:rPr>
        <w:t>称取经105</w:t>
      </w:r>
      <w:r>
        <w:rPr>
          <w:rFonts w:hint="eastAsia" w:ascii="宋体" w:hAnsi="宋体" w:eastAsia="宋体" w:cs="宋体"/>
          <w:color w:val="000000"/>
        </w:rPr>
        <w:t>℃</w:t>
      </w:r>
      <w:r>
        <w:rPr>
          <w:color w:val="000000"/>
        </w:rPr>
        <w:t>干燥至恒重的无水葡萄糖0.0538g，</w:t>
      </w:r>
      <w:r>
        <w:rPr>
          <w:rFonts w:hint="eastAsia"/>
          <w:color w:val="000000"/>
        </w:rPr>
        <w:t>用去离子水溶解并</w:t>
      </w:r>
      <w:r>
        <w:rPr>
          <w:color w:val="000000"/>
        </w:rPr>
        <w:t>定</w:t>
      </w:r>
      <w:r>
        <w:rPr>
          <w:rFonts w:hint="eastAsia"/>
          <w:color w:val="000000"/>
        </w:rPr>
        <w:t>容</w:t>
      </w:r>
      <w:r>
        <w:rPr>
          <w:color w:val="000000"/>
        </w:rPr>
        <w:t>到100mL容量瓶中，混匀得浓度为0.538mg/mL葡萄糖标准液（回测液）。再将葡萄糖标准液（回测液）稀释10倍及25倍，得浓度为0.0538mg/mL的葡萄糖标准液（回测液1）及浓度为0.0215</w:t>
      </w:r>
      <w:r>
        <w:rPr>
          <w:rFonts w:hint="eastAsia"/>
          <w:color w:val="000000"/>
        </w:rPr>
        <w:t>2</w:t>
      </w:r>
      <w:r>
        <w:rPr>
          <w:color w:val="000000"/>
        </w:rPr>
        <w:t>mg/mL的葡萄糖标准液（回测液2）；</w:t>
      </w:r>
    </w:p>
    <w:p>
      <w:pPr>
        <w:spacing w:line="360" w:lineRule="auto"/>
        <w:ind w:firstLine="420" w:firstLineChars="200"/>
        <w:jc w:val="both"/>
        <w:rPr>
          <w:color w:val="000000"/>
        </w:rPr>
      </w:pPr>
      <w:r>
        <w:rPr>
          <w:color w:val="000000"/>
        </w:rPr>
        <w:t>2.</w:t>
      </w:r>
      <w:r>
        <w:rPr>
          <w:rFonts w:hint="eastAsia"/>
          <w:color w:val="000000"/>
        </w:rPr>
        <w:t>4</w:t>
      </w:r>
      <w:r>
        <w:rPr>
          <w:color w:val="000000"/>
        </w:rPr>
        <w:t xml:space="preserve"> </w:t>
      </w:r>
      <w:r>
        <w:rPr>
          <w:rFonts w:hint="eastAsia"/>
          <w:color w:val="000000"/>
        </w:rPr>
        <w:t xml:space="preserve"> </w:t>
      </w:r>
      <w:r>
        <w:rPr>
          <w:color w:val="000000"/>
        </w:rPr>
        <w:t>5%苯酚液</w:t>
      </w:r>
    </w:p>
    <w:p>
      <w:pPr>
        <w:spacing w:line="360" w:lineRule="auto"/>
        <w:ind w:firstLine="420" w:firstLineChars="200"/>
        <w:jc w:val="both"/>
        <w:rPr>
          <w:color w:val="000000"/>
        </w:rPr>
      </w:pPr>
      <w:r>
        <w:rPr>
          <w:color w:val="000000"/>
        </w:rPr>
        <w:t>苯酚（针状无色结晶）50.0g，加水950mL</w:t>
      </w:r>
      <w:r>
        <w:rPr>
          <w:color w:val="000000"/>
          <w:spacing w:val="1"/>
        </w:rPr>
        <w:t>，混匀得</w:t>
      </w:r>
      <w:r>
        <w:rPr>
          <w:color w:val="000000"/>
        </w:rPr>
        <w:t>5%的苯酚液，置棕色瓶中备用。</w:t>
      </w:r>
    </w:p>
    <w:p>
      <w:pPr>
        <w:spacing w:line="360" w:lineRule="auto"/>
        <w:ind w:firstLine="420" w:firstLineChars="200"/>
        <w:jc w:val="both"/>
        <w:rPr>
          <w:color w:val="000000"/>
        </w:rPr>
      </w:pPr>
      <w:r>
        <w:rPr>
          <w:rFonts w:hint="eastAsia"/>
          <w:color w:val="000000"/>
        </w:rPr>
        <w:t>2.5淀粉标准溶液</w:t>
      </w:r>
    </w:p>
    <w:p>
      <w:pPr>
        <w:spacing w:line="360" w:lineRule="auto"/>
        <w:ind w:left="210" w:leftChars="100" w:firstLine="420" w:firstLineChars="200"/>
        <w:jc w:val="both"/>
        <w:rPr>
          <w:color w:val="000000"/>
        </w:rPr>
      </w:pPr>
      <w:r>
        <w:rPr>
          <w:rFonts w:hint="eastAsia"/>
          <w:color w:val="000000"/>
        </w:rPr>
        <w:t>称取0.10g左右淀粉，先加入几滴凉水欲溶，用85ml沸水冲溶，冷却最后定容于100ml容量瓶中。</w:t>
      </w:r>
    </w:p>
    <w:p>
      <w:pPr>
        <w:spacing w:line="360" w:lineRule="auto"/>
        <w:ind w:firstLine="420" w:firstLineChars="200"/>
        <w:jc w:val="both"/>
        <w:rPr>
          <w:color w:val="000000"/>
        </w:rPr>
      </w:pPr>
      <w:r>
        <w:rPr>
          <w:rFonts w:hint="eastAsia"/>
          <w:color w:val="000000"/>
        </w:rPr>
        <w:t>2.6淀粉多糖标准溶液</w:t>
      </w:r>
    </w:p>
    <w:p>
      <w:pPr>
        <w:spacing w:line="360" w:lineRule="auto"/>
        <w:ind w:firstLine="420" w:firstLineChars="200"/>
        <w:jc w:val="both"/>
        <w:rPr>
          <w:color w:val="000000"/>
        </w:rPr>
      </w:pPr>
      <w:r>
        <w:rPr>
          <w:rFonts w:hint="eastAsia"/>
          <w:color w:val="000000"/>
        </w:rPr>
        <w:t>移取3.000ml淀粉标准（2.5）溶液于50ml尖底离心管中，加入27.0ml95%乙醇，4℃下静置12h，于5000r/min转速离心30min，弃去上清液，将沉淀物用约60℃热水充分溶解，并用60℃热水洗涤离心管共三次，合并洗涤液并入到100ml容量瓶中。</w:t>
      </w:r>
    </w:p>
    <w:p>
      <w:pPr>
        <w:spacing w:line="360" w:lineRule="auto"/>
        <w:ind w:firstLine="420" w:firstLineChars="200"/>
        <w:jc w:val="both"/>
        <w:rPr>
          <w:color w:val="000000"/>
        </w:rPr>
      </w:pPr>
      <w:r>
        <w:rPr>
          <w:rFonts w:hint="eastAsia"/>
          <w:color w:val="000000"/>
        </w:rPr>
        <w:t>2.7样品多糖的提取</w:t>
      </w:r>
    </w:p>
    <w:p>
      <w:pPr>
        <w:spacing w:line="360" w:lineRule="auto"/>
        <w:ind w:firstLine="420" w:firstLineChars="200"/>
        <w:jc w:val="both"/>
        <w:rPr>
          <w:color w:val="000000"/>
        </w:rPr>
      </w:pPr>
      <w:r>
        <w:rPr>
          <w:rFonts w:hint="eastAsia"/>
          <w:color w:val="000000"/>
        </w:rPr>
        <w:t>移取3.000ml样品于50ml尖底离心管中，加入27.0ml95%乙醇，4℃下静置12h，于5000r/min转速离心30min，弃去上清液，将沉淀物用约60℃热水充分溶解，并用60℃热水洗涤离心管共三次，合并洗涤液并入相应的容量瓶中。（稀释倍数根据样品的多糖决定）</w:t>
      </w:r>
    </w:p>
    <w:p>
      <w:pPr>
        <w:spacing w:line="360" w:lineRule="auto"/>
        <w:ind w:firstLine="420" w:firstLineChars="200"/>
        <w:jc w:val="both"/>
        <w:rPr>
          <w:color w:val="000000"/>
        </w:rPr>
      </w:pPr>
      <w:r>
        <w:rPr>
          <w:rFonts w:hint="eastAsia"/>
          <w:color w:val="000000"/>
        </w:rPr>
        <w:t>2.8检测样品时配制的淀粉多糖标准溶液及葡萄糖标准溶液配制过程与2.3、2.5、2.6一致，只是浓度不同。</w:t>
      </w:r>
    </w:p>
    <w:p>
      <w:pPr>
        <w:spacing w:line="360" w:lineRule="auto"/>
        <w:ind w:firstLine="422" w:firstLineChars="200"/>
        <w:jc w:val="both"/>
        <w:rPr>
          <w:b/>
          <w:color w:val="000000"/>
        </w:rPr>
      </w:pPr>
      <w:r>
        <w:rPr>
          <w:b/>
          <w:color w:val="000000"/>
        </w:rPr>
        <w:t>3.</w:t>
      </w:r>
      <w:r>
        <w:rPr>
          <w:b/>
          <w:color w:val="000000"/>
          <w:spacing w:val="43"/>
        </w:rPr>
        <w:t xml:space="preserve"> </w:t>
      </w:r>
      <w:r>
        <w:rPr>
          <w:b/>
          <w:color w:val="000000"/>
        </w:rPr>
        <w:t>标准曲线</w:t>
      </w:r>
      <w:r>
        <w:rPr>
          <w:rFonts w:hint="eastAsia"/>
          <w:b/>
          <w:color w:val="000000"/>
        </w:rPr>
        <w:t>绘制</w:t>
      </w:r>
    </w:p>
    <w:p>
      <w:pPr>
        <w:spacing w:line="360" w:lineRule="auto"/>
        <w:ind w:firstLine="420" w:firstLineChars="200"/>
        <w:jc w:val="both"/>
        <w:rPr>
          <w:color w:val="000000"/>
          <w:spacing w:val="60"/>
        </w:rPr>
      </w:pPr>
      <w:r>
        <w:rPr>
          <w:color w:val="000000"/>
        </w:rPr>
        <w:t>3.1</w:t>
      </w:r>
      <w:r>
        <w:rPr>
          <w:rFonts w:hint="eastAsia"/>
          <w:color w:val="000000"/>
        </w:rPr>
        <w:t>标准曲线测定过程</w:t>
      </w:r>
      <w:r>
        <w:rPr>
          <w:rFonts w:hint="eastAsia"/>
          <w:color w:val="000000"/>
          <w:spacing w:val="60"/>
        </w:rPr>
        <w:t xml:space="preserve"> </w:t>
      </w:r>
    </w:p>
    <w:p>
      <w:pPr>
        <w:spacing w:line="360" w:lineRule="auto"/>
        <w:ind w:left="210" w:leftChars="100" w:firstLine="420" w:firstLineChars="200"/>
        <w:jc w:val="both"/>
        <w:rPr>
          <w:color w:val="000000"/>
          <w:spacing w:val="-4"/>
        </w:rPr>
      </w:pPr>
      <w:r>
        <w:rPr>
          <w:rFonts w:hint="eastAsia"/>
          <w:color w:val="000000"/>
        </w:rPr>
        <w:t>注意：</w:t>
      </w:r>
      <w:r>
        <w:rPr>
          <w:color w:val="000000"/>
        </w:rPr>
        <w:t>取7</w:t>
      </w:r>
      <w:r>
        <w:rPr>
          <w:color w:val="000000"/>
          <w:spacing w:val="-6"/>
        </w:rPr>
        <w:t>组试管，除空白为</w:t>
      </w:r>
      <w:r>
        <w:rPr>
          <w:color w:val="000000"/>
        </w:rPr>
        <w:t>1</w:t>
      </w:r>
      <w:r>
        <w:rPr>
          <w:color w:val="000000"/>
          <w:spacing w:val="-9"/>
        </w:rPr>
        <w:t>支外，其余</w:t>
      </w:r>
      <w:r>
        <w:rPr>
          <w:color w:val="000000"/>
        </w:rPr>
        <w:t>6组每组均为3</w:t>
      </w:r>
      <w:r>
        <w:rPr>
          <w:color w:val="000000"/>
          <w:spacing w:val="-4"/>
        </w:rPr>
        <w:t>支平行试管。</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276"/>
        <w:gridCol w:w="964"/>
        <w:gridCol w:w="964"/>
        <w:gridCol w:w="964"/>
        <w:gridCol w:w="964"/>
        <w:gridCol w:w="964"/>
        <w:gridCol w:w="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jc w:val="center"/>
        </w:trPr>
        <w:tc>
          <w:tcPr>
            <w:tcW w:w="1242" w:type="dxa"/>
            <w:vAlign w:val="center"/>
          </w:tcPr>
          <w:p>
            <w:pPr>
              <w:spacing w:line="360" w:lineRule="auto"/>
              <w:jc w:val="center"/>
              <w:rPr>
                <w:color w:val="000000"/>
              </w:rPr>
            </w:pPr>
            <w:r>
              <w:rPr>
                <w:rFonts w:hint="eastAsia"/>
                <w:color w:val="000000"/>
              </w:rPr>
              <w:t>所加试剂</w:t>
            </w:r>
          </w:p>
        </w:tc>
        <w:tc>
          <w:tcPr>
            <w:tcW w:w="1276" w:type="dxa"/>
            <w:vAlign w:val="center"/>
          </w:tcPr>
          <w:p>
            <w:pPr>
              <w:spacing w:line="360" w:lineRule="auto"/>
              <w:jc w:val="center"/>
              <w:rPr>
                <w:color w:val="000000"/>
              </w:rPr>
            </w:pPr>
            <w:r>
              <w:rPr>
                <w:rFonts w:hint="eastAsia"/>
                <w:color w:val="000000"/>
              </w:rPr>
              <w:t>空白对照</w:t>
            </w:r>
          </w:p>
        </w:tc>
        <w:tc>
          <w:tcPr>
            <w:tcW w:w="964" w:type="dxa"/>
            <w:vAlign w:val="center"/>
          </w:tcPr>
          <w:p>
            <w:pPr>
              <w:spacing w:line="360" w:lineRule="auto"/>
              <w:jc w:val="center"/>
              <w:rPr>
                <w:color w:val="000000"/>
              </w:rPr>
            </w:pPr>
            <w:r>
              <w:rPr>
                <w:color w:val="000000"/>
              </w:rPr>
              <w:t>标液1</w:t>
            </w:r>
          </w:p>
        </w:tc>
        <w:tc>
          <w:tcPr>
            <w:tcW w:w="964" w:type="dxa"/>
            <w:vAlign w:val="center"/>
          </w:tcPr>
          <w:p>
            <w:pPr>
              <w:spacing w:line="360" w:lineRule="auto"/>
              <w:jc w:val="center"/>
              <w:rPr>
                <w:color w:val="000000"/>
              </w:rPr>
            </w:pPr>
            <w:r>
              <w:rPr>
                <w:color w:val="000000"/>
              </w:rPr>
              <w:t>标液2</w:t>
            </w:r>
          </w:p>
        </w:tc>
        <w:tc>
          <w:tcPr>
            <w:tcW w:w="964" w:type="dxa"/>
            <w:vAlign w:val="center"/>
          </w:tcPr>
          <w:p>
            <w:pPr>
              <w:spacing w:line="360" w:lineRule="auto"/>
              <w:jc w:val="center"/>
              <w:rPr>
                <w:b/>
                <w:color w:val="000000"/>
              </w:rPr>
            </w:pPr>
            <w:r>
              <w:rPr>
                <w:color w:val="000000"/>
              </w:rPr>
              <w:t>标液3</w:t>
            </w:r>
          </w:p>
        </w:tc>
        <w:tc>
          <w:tcPr>
            <w:tcW w:w="964" w:type="dxa"/>
            <w:vAlign w:val="center"/>
          </w:tcPr>
          <w:p>
            <w:pPr>
              <w:spacing w:line="360" w:lineRule="auto"/>
              <w:jc w:val="center"/>
              <w:rPr>
                <w:color w:val="000000"/>
              </w:rPr>
            </w:pPr>
            <w:r>
              <w:rPr>
                <w:color w:val="000000"/>
              </w:rPr>
              <w:t>标液4</w:t>
            </w:r>
          </w:p>
        </w:tc>
        <w:tc>
          <w:tcPr>
            <w:tcW w:w="964" w:type="dxa"/>
            <w:vAlign w:val="center"/>
          </w:tcPr>
          <w:p>
            <w:pPr>
              <w:spacing w:line="360" w:lineRule="auto"/>
              <w:jc w:val="center"/>
              <w:rPr>
                <w:color w:val="000000"/>
              </w:rPr>
            </w:pPr>
            <w:r>
              <w:rPr>
                <w:color w:val="000000"/>
              </w:rPr>
              <w:t>标液5</w:t>
            </w:r>
          </w:p>
        </w:tc>
        <w:tc>
          <w:tcPr>
            <w:tcW w:w="964" w:type="dxa"/>
            <w:vAlign w:val="center"/>
          </w:tcPr>
          <w:p>
            <w:pPr>
              <w:spacing w:line="360" w:lineRule="auto"/>
              <w:jc w:val="center"/>
              <w:rPr>
                <w:color w:val="000000"/>
              </w:rPr>
            </w:pPr>
            <w:r>
              <w:rPr>
                <w:color w:val="000000"/>
              </w:rPr>
              <w:t>标液6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Align w:val="center"/>
          </w:tcPr>
          <w:p>
            <w:pPr>
              <w:spacing w:line="360" w:lineRule="auto"/>
              <w:jc w:val="center"/>
              <w:rPr>
                <w:color w:val="000000"/>
              </w:rPr>
            </w:pPr>
            <w:r>
              <w:rPr>
                <w:color w:val="000000"/>
              </w:rPr>
              <w:t>0.081</w:t>
            </w:r>
            <w:r>
              <w:rPr>
                <w:rFonts w:hint="eastAsia"/>
                <w:color w:val="000000"/>
              </w:rPr>
              <w:t>28</w:t>
            </w:r>
            <w:r>
              <w:rPr>
                <w:color w:val="000000"/>
              </w:rPr>
              <w:t>mg/mL葡萄糖标准溶液/mL</w:t>
            </w:r>
          </w:p>
        </w:tc>
        <w:tc>
          <w:tcPr>
            <w:tcW w:w="1276" w:type="dxa"/>
            <w:vAlign w:val="center"/>
          </w:tcPr>
          <w:p>
            <w:pPr>
              <w:spacing w:line="360" w:lineRule="auto"/>
              <w:jc w:val="center"/>
              <w:rPr>
                <w:color w:val="000000"/>
              </w:rPr>
            </w:pPr>
            <w:r>
              <w:rPr>
                <w:rFonts w:hint="eastAsia"/>
                <w:color w:val="000000"/>
              </w:rPr>
              <w:t>0</w:t>
            </w:r>
          </w:p>
        </w:tc>
        <w:tc>
          <w:tcPr>
            <w:tcW w:w="964" w:type="dxa"/>
            <w:vAlign w:val="center"/>
          </w:tcPr>
          <w:p>
            <w:pPr>
              <w:spacing w:line="360" w:lineRule="auto"/>
              <w:jc w:val="center"/>
              <w:rPr>
                <w:color w:val="000000"/>
              </w:rPr>
            </w:pPr>
            <w:r>
              <w:rPr>
                <w:color w:val="000000"/>
              </w:rPr>
              <w:t>0.250</w:t>
            </w:r>
          </w:p>
        </w:tc>
        <w:tc>
          <w:tcPr>
            <w:tcW w:w="964" w:type="dxa"/>
            <w:vAlign w:val="center"/>
          </w:tcPr>
          <w:p>
            <w:pPr>
              <w:spacing w:line="360" w:lineRule="auto"/>
              <w:jc w:val="center"/>
              <w:rPr>
                <w:color w:val="000000"/>
              </w:rPr>
            </w:pPr>
            <w:r>
              <w:rPr>
                <w:color w:val="000000"/>
              </w:rPr>
              <w:t>0.500</w:t>
            </w:r>
          </w:p>
        </w:tc>
        <w:tc>
          <w:tcPr>
            <w:tcW w:w="964" w:type="dxa"/>
            <w:vAlign w:val="center"/>
          </w:tcPr>
          <w:p>
            <w:pPr>
              <w:spacing w:line="360" w:lineRule="auto"/>
              <w:jc w:val="center"/>
              <w:rPr>
                <w:color w:val="000000"/>
              </w:rPr>
            </w:pPr>
            <w:r>
              <w:rPr>
                <w:color w:val="000000"/>
              </w:rPr>
              <w:t>0.750</w:t>
            </w:r>
          </w:p>
        </w:tc>
        <w:tc>
          <w:tcPr>
            <w:tcW w:w="964" w:type="dxa"/>
            <w:vAlign w:val="center"/>
          </w:tcPr>
          <w:p>
            <w:pPr>
              <w:spacing w:line="360" w:lineRule="auto"/>
              <w:jc w:val="center"/>
              <w:rPr>
                <w:color w:val="000000"/>
              </w:rPr>
            </w:pPr>
            <w:r>
              <w:rPr>
                <w:color w:val="000000"/>
              </w:rPr>
              <w:t>1.000</w:t>
            </w:r>
          </w:p>
        </w:tc>
        <w:tc>
          <w:tcPr>
            <w:tcW w:w="964" w:type="dxa"/>
            <w:vAlign w:val="center"/>
          </w:tcPr>
          <w:p>
            <w:pPr>
              <w:spacing w:line="360" w:lineRule="auto"/>
              <w:jc w:val="center"/>
              <w:rPr>
                <w:color w:val="000000"/>
              </w:rPr>
            </w:pPr>
            <w:r>
              <w:rPr>
                <w:color w:val="000000"/>
              </w:rPr>
              <w:t>1.250</w:t>
            </w:r>
          </w:p>
        </w:tc>
        <w:tc>
          <w:tcPr>
            <w:tcW w:w="964" w:type="dxa"/>
            <w:vAlign w:val="center"/>
          </w:tcPr>
          <w:p>
            <w:pPr>
              <w:spacing w:line="360" w:lineRule="auto"/>
              <w:jc w:val="center"/>
              <w:rPr>
                <w:color w:val="000000"/>
              </w:rPr>
            </w:pPr>
            <w:r>
              <w:rPr>
                <w:color w:val="000000"/>
              </w:rPr>
              <w:t>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Align w:val="center"/>
          </w:tcPr>
          <w:p>
            <w:pPr>
              <w:spacing w:line="360" w:lineRule="auto"/>
              <w:jc w:val="center"/>
              <w:rPr>
                <w:color w:val="000000"/>
              </w:rPr>
            </w:pPr>
            <w:r>
              <w:rPr>
                <w:color w:val="000000"/>
              </w:rPr>
              <w:t>去离子水/mL</w:t>
            </w:r>
          </w:p>
        </w:tc>
        <w:tc>
          <w:tcPr>
            <w:tcW w:w="1276" w:type="dxa"/>
            <w:vAlign w:val="center"/>
          </w:tcPr>
          <w:p>
            <w:pPr>
              <w:spacing w:line="360" w:lineRule="auto"/>
              <w:jc w:val="center"/>
              <w:rPr>
                <w:color w:val="000000"/>
              </w:rPr>
            </w:pPr>
            <w:r>
              <w:rPr>
                <w:rFonts w:hint="eastAsia"/>
                <w:color w:val="000000"/>
              </w:rPr>
              <w:t>2.000</w:t>
            </w:r>
          </w:p>
        </w:tc>
        <w:tc>
          <w:tcPr>
            <w:tcW w:w="964" w:type="dxa"/>
            <w:vAlign w:val="center"/>
          </w:tcPr>
          <w:p>
            <w:pPr>
              <w:spacing w:line="360" w:lineRule="auto"/>
              <w:jc w:val="center"/>
              <w:rPr>
                <w:color w:val="000000"/>
              </w:rPr>
            </w:pPr>
            <w:r>
              <w:rPr>
                <w:color w:val="000000"/>
              </w:rPr>
              <w:t>1.750</w:t>
            </w:r>
          </w:p>
        </w:tc>
        <w:tc>
          <w:tcPr>
            <w:tcW w:w="964" w:type="dxa"/>
            <w:vAlign w:val="center"/>
          </w:tcPr>
          <w:p>
            <w:pPr>
              <w:spacing w:line="360" w:lineRule="auto"/>
              <w:jc w:val="center"/>
              <w:rPr>
                <w:color w:val="000000"/>
              </w:rPr>
            </w:pPr>
            <w:r>
              <w:rPr>
                <w:color w:val="000000"/>
              </w:rPr>
              <w:t>1.500</w:t>
            </w:r>
          </w:p>
        </w:tc>
        <w:tc>
          <w:tcPr>
            <w:tcW w:w="964" w:type="dxa"/>
            <w:vAlign w:val="center"/>
          </w:tcPr>
          <w:p>
            <w:pPr>
              <w:spacing w:line="360" w:lineRule="auto"/>
              <w:jc w:val="center"/>
              <w:rPr>
                <w:color w:val="000000"/>
              </w:rPr>
            </w:pPr>
            <w:r>
              <w:rPr>
                <w:color w:val="000000"/>
              </w:rPr>
              <w:t>1.250</w:t>
            </w:r>
          </w:p>
        </w:tc>
        <w:tc>
          <w:tcPr>
            <w:tcW w:w="964" w:type="dxa"/>
            <w:vAlign w:val="center"/>
          </w:tcPr>
          <w:p>
            <w:pPr>
              <w:spacing w:line="360" w:lineRule="auto"/>
              <w:jc w:val="center"/>
              <w:rPr>
                <w:color w:val="000000"/>
              </w:rPr>
            </w:pPr>
            <w:r>
              <w:rPr>
                <w:color w:val="000000"/>
              </w:rPr>
              <w:t>1.000</w:t>
            </w:r>
          </w:p>
        </w:tc>
        <w:tc>
          <w:tcPr>
            <w:tcW w:w="964" w:type="dxa"/>
            <w:vAlign w:val="center"/>
          </w:tcPr>
          <w:p>
            <w:pPr>
              <w:spacing w:line="360" w:lineRule="auto"/>
              <w:jc w:val="center"/>
              <w:rPr>
                <w:color w:val="000000"/>
              </w:rPr>
            </w:pPr>
            <w:r>
              <w:rPr>
                <w:color w:val="000000"/>
              </w:rPr>
              <w:t>0.750</w:t>
            </w:r>
          </w:p>
        </w:tc>
        <w:tc>
          <w:tcPr>
            <w:tcW w:w="964" w:type="dxa"/>
            <w:vAlign w:val="center"/>
          </w:tcPr>
          <w:p>
            <w:pPr>
              <w:spacing w:line="360" w:lineRule="auto"/>
              <w:jc w:val="center"/>
              <w:rPr>
                <w:color w:val="000000"/>
              </w:rPr>
            </w:pPr>
            <w:r>
              <w:rPr>
                <w:color w:val="000000"/>
              </w:rPr>
              <w:t>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Align w:val="center"/>
          </w:tcPr>
          <w:p>
            <w:pPr>
              <w:spacing w:line="360" w:lineRule="auto"/>
              <w:jc w:val="center"/>
              <w:rPr>
                <w:color w:val="000000"/>
              </w:rPr>
            </w:pPr>
            <w:r>
              <w:rPr>
                <w:rFonts w:hint="eastAsia"/>
                <w:color w:val="000000"/>
              </w:rPr>
              <w:t>5%苯酚/ml</w:t>
            </w:r>
          </w:p>
        </w:tc>
        <w:tc>
          <w:tcPr>
            <w:tcW w:w="964" w:type="dxa"/>
            <w:gridSpan w:val="7"/>
            <w:vAlign w:val="center"/>
          </w:tcPr>
          <w:p>
            <w:pPr>
              <w:spacing w:line="360" w:lineRule="auto"/>
              <w:jc w:val="center"/>
              <w:rPr>
                <w:color w:val="000000"/>
              </w:rPr>
            </w:pPr>
            <w:r>
              <w:rPr>
                <w:rFonts w:hint="eastAsia"/>
                <w:color w:val="000000"/>
              </w:rPr>
              <w:t>1ml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 w:type="dxa"/>
            <w:gridSpan w:val="8"/>
            <w:vAlign w:val="center"/>
          </w:tcPr>
          <w:p>
            <w:pPr>
              <w:spacing w:line="360" w:lineRule="auto"/>
              <w:jc w:val="center"/>
              <w:rPr>
                <w:color w:val="000000"/>
              </w:rPr>
            </w:pPr>
            <w:r>
              <w:rPr>
                <w:rFonts w:hint="eastAsia"/>
                <w:color w:val="000000"/>
              </w:rPr>
              <w:t>每加一支试管及时混匀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Align w:val="center"/>
          </w:tcPr>
          <w:p>
            <w:pPr>
              <w:spacing w:line="360" w:lineRule="auto"/>
              <w:jc w:val="center"/>
              <w:rPr>
                <w:color w:val="000000"/>
              </w:rPr>
            </w:pPr>
            <w:r>
              <w:rPr>
                <w:rFonts w:hint="eastAsia"/>
                <w:color w:val="000000"/>
              </w:rPr>
              <w:t>浓硫酸/ml</w:t>
            </w:r>
          </w:p>
        </w:tc>
        <w:tc>
          <w:tcPr>
            <w:tcW w:w="964" w:type="dxa"/>
            <w:gridSpan w:val="7"/>
            <w:vAlign w:val="center"/>
          </w:tcPr>
          <w:p>
            <w:pPr>
              <w:spacing w:line="360" w:lineRule="auto"/>
              <w:jc w:val="center"/>
              <w:rPr>
                <w:color w:val="000000"/>
              </w:rPr>
            </w:pPr>
            <w:r>
              <w:rPr>
                <w:rFonts w:hint="eastAsia"/>
                <w:color w:val="000000"/>
              </w:rPr>
              <w:t>5ml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 w:type="dxa"/>
            <w:gridSpan w:val="8"/>
            <w:vAlign w:val="center"/>
          </w:tcPr>
          <w:p>
            <w:pPr>
              <w:spacing w:line="360" w:lineRule="auto"/>
              <w:jc w:val="center"/>
              <w:rPr>
                <w:color w:val="000000"/>
              </w:rPr>
            </w:pPr>
            <w:r>
              <w:rPr>
                <w:rFonts w:hint="eastAsia"/>
                <w:color w:val="000000"/>
              </w:rPr>
              <w:t>每加一支试管及时混匀，混匀后，放置5min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 w:type="dxa"/>
            <w:gridSpan w:val="8"/>
            <w:vAlign w:val="center"/>
          </w:tcPr>
          <w:p>
            <w:pPr>
              <w:spacing w:line="360" w:lineRule="auto"/>
              <w:jc w:val="center"/>
              <w:rPr>
                <w:color w:val="000000"/>
              </w:rPr>
            </w:pPr>
            <w:r>
              <w:rPr>
                <w:rFonts w:hint="eastAsia"/>
                <w:color w:val="000000"/>
              </w:rPr>
              <w:t>全部放入沸水中，沸水浴15min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 w:type="dxa"/>
            <w:gridSpan w:val="8"/>
            <w:vAlign w:val="center"/>
          </w:tcPr>
          <w:p>
            <w:pPr>
              <w:spacing w:line="360" w:lineRule="auto"/>
              <w:jc w:val="center"/>
              <w:rPr>
                <w:color w:val="000000"/>
              </w:rPr>
            </w:pPr>
            <w:r>
              <w:rPr>
                <w:rFonts w:hint="eastAsia"/>
                <w:color w:val="000000"/>
              </w:rPr>
              <w:t>冷却至室温，490nm处测吸光值</w:t>
            </w:r>
          </w:p>
        </w:tc>
      </w:tr>
    </w:tbl>
    <w:p>
      <w:pPr>
        <w:spacing w:line="360" w:lineRule="auto"/>
        <w:ind w:left="210" w:leftChars="100" w:firstLine="404" w:firstLineChars="200"/>
        <w:jc w:val="both"/>
        <w:rPr>
          <w:color w:val="000000"/>
          <w:spacing w:val="-4"/>
        </w:rPr>
      </w:pPr>
      <w:r>
        <w:rPr>
          <w:rFonts w:hint="eastAsia"/>
          <w:color w:val="000000"/>
          <w:spacing w:val="-4"/>
        </w:rPr>
        <w:t>3.2所测吸光值如下：</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4"/>
        <w:gridCol w:w="823"/>
        <w:gridCol w:w="907"/>
        <w:gridCol w:w="907"/>
        <w:gridCol w:w="907"/>
        <w:gridCol w:w="907"/>
        <w:gridCol w:w="1774"/>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vAlign w:val="center"/>
          </w:tcPr>
          <w:p>
            <w:pPr>
              <w:spacing w:line="360" w:lineRule="auto"/>
              <w:jc w:val="center"/>
              <w:rPr>
                <w:color w:val="000000"/>
                <w:spacing w:val="60"/>
              </w:rPr>
            </w:pPr>
            <w:r>
              <w:rPr>
                <w:rFonts w:hint="eastAsia"/>
                <w:color w:val="000000"/>
                <w:spacing w:val="60"/>
              </w:rPr>
              <w:t>测试液</w:t>
            </w:r>
          </w:p>
        </w:tc>
        <w:tc>
          <w:tcPr>
            <w:tcW w:w="823" w:type="dxa"/>
            <w:vAlign w:val="center"/>
          </w:tcPr>
          <w:p>
            <w:pPr>
              <w:spacing w:line="360" w:lineRule="auto"/>
              <w:jc w:val="center"/>
              <w:rPr>
                <w:color w:val="000000"/>
              </w:rPr>
            </w:pPr>
            <w:r>
              <w:rPr>
                <w:rFonts w:hint="eastAsia"/>
                <w:color w:val="000000"/>
                <w:spacing w:val="60"/>
              </w:rPr>
              <w:t>空白吸光值</w:t>
            </w:r>
          </w:p>
        </w:tc>
        <w:tc>
          <w:tcPr>
            <w:tcW w:w="2721" w:type="dxa"/>
            <w:gridSpan w:val="3"/>
            <w:vAlign w:val="center"/>
          </w:tcPr>
          <w:p>
            <w:pPr>
              <w:spacing w:line="360" w:lineRule="auto"/>
              <w:jc w:val="center"/>
              <w:rPr>
                <w:color w:val="000000"/>
              </w:rPr>
            </w:pPr>
            <w:r>
              <w:rPr>
                <w:color w:val="000000"/>
              </w:rPr>
              <w:t>吸光值</w:t>
            </w:r>
            <w:r>
              <w:rPr>
                <w:rFonts w:hint="eastAsia"/>
                <w:color w:val="000000"/>
              </w:rPr>
              <w:t>（已扣除空白吸光值）</w:t>
            </w:r>
          </w:p>
        </w:tc>
        <w:tc>
          <w:tcPr>
            <w:tcW w:w="907" w:type="dxa"/>
            <w:vAlign w:val="center"/>
          </w:tcPr>
          <w:p>
            <w:pPr>
              <w:spacing w:line="360" w:lineRule="auto"/>
              <w:jc w:val="center"/>
              <w:rPr>
                <w:color w:val="000000"/>
                <w:spacing w:val="60"/>
              </w:rPr>
            </w:pPr>
            <w:r>
              <w:rPr>
                <w:color w:val="000000"/>
                <w:spacing w:val="60"/>
              </w:rPr>
              <w:t>平均吸光值</w:t>
            </w:r>
          </w:p>
        </w:tc>
        <w:tc>
          <w:tcPr>
            <w:tcW w:w="1774" w:type="dxa"/>
            <w:vAlign w:val="center"/>
          </w:tcPr>
          <w:p>
            <w:pPr>
              <w:spacing w:line="360" w:lineRule="auto"/>
              <w:jc w:val="center"/>
              <w:rPr>
                <w:color w:val="000000"/>
                <w:spacing w:val="60"/>
              </w:rPr>
            </w:pPr>
            <w:r>
              <w:rPr>
                <w:color w:val="000000"/>
                <w:spacing w:val="60"/>
              </w:rPr>
              <w:t>理论浓度（mg/mL）</w:t>
            </w:r>
          </w:p>
        </w:tc>
        <w:tc>
          <w:tcPr>
            <w:tcW w:w="1417" w:type="dxa"/>
            <w:vAlign w:val="center"/>
          </w:tcPr>
          <w:p>
            <w:pPr>
              <w:spacing w:line="360" w:lineRule="auto"/>
              <w:jc w:val="center"/>
              <w:rPr>
                <w:color w:val="000000"/>
                <w:spacing w:val="60"/>
              </w:rPr>
            </w:pPr>
            <w:r>
              <w:rPr>
                <w:color w:val="000000"/>
                <w:spacing w:val="60"/>
              </w:rPr>
              <w:t>准确度（%）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vAlign w:val="center"/>
          </w:tcPr>
          <w:p>
            <w:pPr>
              <w:spacing w:line="360" w:lineRule="auto"/>
              <w:jc w:val="center"/>
              <w:rPr>
                <w:color w:val="000000"/>
                <w:spacing w:val="60"/>
              </w:rPr>
            </w:pPr>
            <w:r>
              <w:rPr>
                <w:rFonts w:hint="eastAsia"/>
                <w:color w:val="000000"/>
                <w:spacing w:val="60"/>
              </w:rPr>
              <w:t>标液1</w:t>
            </w:r>
          </w:p>
        </w:tc>
        <w:tc>
          <w:tcPr>
            <w:tcW w:w="823" w:type="dxa"/>
            <w:vMerge w:val="restart"/>
            <w:vAlign w:val="center"/>
          </w:tcPr>
          <w:p>
            <w:pPr>
              <w:spacing w:line="360" w:lineRule="auto"/>
              <w:jc w:val="center"/>
              <w:rPr>
                <w:color w:val="000000"/>
              </w:rPr>
            </w:pPr>
            <w:r>
              <w:rPr>
                <w:rFonts w:hint="eastAsia"/>
                <w:color w:val="000000"/>
              </w:rPr>
              <w:t>0.012</w:t>
            </w:r>
          </w:p>
        </w:tc>
        <w:tc>
          <w:tcPr>
            <w:tcW w:w="907" w:type="dxa"/>
            <w:vAlign w:val="center"/>
          </w:tcPr>
          <w:p>
            <w:pPr>
              <w:spacing w:line="360" w:lineRule="auto"/>
              <w:jc w:val="center"/>
              <w:rPr>
                <w:color w:val="000000"/>
              </w:rPr>
            </w:pPr>
            <w:r>
              <w:rPr>
                <w:color w:val="000000"/>
              </w:rPr>
              <w:t>0.171</w:t>
            </w:r>
          </w:p>
        </w:tc>
        <w:tc>
          <w:tcPr>
            <w:tcW w:w="907" w:type="dxa"/>
            <w:vAlign w:val="center"/>
          </w:tcPr>
          <w:p>
            <w:pPr>
              <w:spacing w:line="360" w:lineRule="auto"/>
              <w:jc w:val="center"/>
              <w:rPr>
                <w:color w:val="000000"/>
              </w:rPr>
            </w:pPr>
            <w:r>
              <w:rPr>
                <w:color w:val="000000"/>
              </w:rPr>
              <w:t>0.177</w:t>
            </w:r>
          </w:p>
        </w:tc>
        <w:tc>
          <w:tcPr>
            <w:tcW w:w="907" w:type="dxa"/>
            <w:vAlign w:val="center"/>
          </w:tcPr>
          <w:p>
            <w:pPr>
              <w:spacing w:line="360" w:lineRule="auto"/>
              <w:jc w:val="center"/>
              <w:rPr>
                <w:color w:val="000000"/>
              </w:rPr>
            </w:pPr>
            <w:r>
              <w:rPr>
                <w:color w:val="000000"/>
              </w:rPr>
              <w:t>0.174</w:t>
            </w:r>
          </w:p>
        </w:tc>
        <w:tc>
          <w:tcPr>
            <w:tcW w:w="907" w:type="dxa"/>
            <w:vAlign w:val="center"/>
          </w:tcPr>
          <w:p>
            <w:pPr>
              <w:spacing w:line="360" w:lineRule="auto"/>
              <w:jc w:val="center"/>
              <w:rPr>
                <w:color w:val="000000"/>
              </w:rPr>
            </w:pPr>
            <w:r>
              <w:rPr>
                <w:color w:val="000000"/>
              </w:rPr>
              <w:t>0.174</w:t>
            </w:r>
          </w:p>
        </w:tc>
        <w:tc>
          <w:tcPr>
            <w:tcW w:w="1774" w:type="dxa"/>
            <w:vAlign w:val="center"/>
          </w:tcPr>
          <w:p>
            <w:pPr>
              <w:spacing w:line="360" w:lineRule="auto"/>
              <w:jc w:val="center"/>
              <w:rPr>
                <w:color w:val="000000"/>
              </w:rPr>
            </w:pPr>
            <w:r>
              <w:rPr>
                <w:color w:val="000000"/>
              </w:rPr>
              <w:t>0.010</w:t>
            </w:r>
            <w:r>
              <w:rPr>
                <w:rFonts w:hint="eastAsia"/>
                <w:color w:val="000000"/>
              </w:rPr>
              <w:t>16</w:t>
            </w:r>
          </w:p>
        </w:tc>
        <w:tc>
          <w:tcPr>
            <w:tcW w:w="1417" w:type="dxa"/>
            <w:vAlign w:val="center"/>
          </w:tcPr>
          <w:p>
            <w:pPr>
              <w:spacing w:line="360" w:lineRule="auto"/>
              <w:jc w:val="center"/>
              <w:rPr>
                <w:color w:val="000000"/>
              </w:rPr>
            </w:pPr>
            <w:r>
              <w:rPr>
                <w:color w:val="000000"/>
              </w:rPr>
              <w:t>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vAlign w:val="center"/>
          </w:tcPr>
          <w:p>
            <w:pPr>
              <w:spacing w:line="360" w:lineRule="auto"/>
              <w:jc w:val="center"/>
              <w:rPr>
                <w:color w:val="000000"/>
                <w:spacing w:val="60"/>
              </w:rPr>
            </w:pPr>
            <w:r>
              <w:rPr>
                <w:color w:val="000000"/>
                <w:spacing w:val="60"/>
              </w:rPr>
              <w:t>标液2</w:t>
            </w:r>
          </w:p>
        </w:tc>
        <w:tc>
          <w:tcPr>
            <w:tcW w:w="823" w:type="dxa"/>
            <w:vMerge w:val="continue"/>
            <w:vAlign w:val="center"/>
          </w:tcPr>
          <w:p>
            <w:pPr>
              <w:spacing w:line="360" w:lineRule="auto"/>
              <w:jc w:val="center"/>
              <w:rPr>
                <w:color w:val="000000"/>
              </w:rPr>
            </w:pPr>
          </w:p>
        </w:tc>
        <w:tc>
          <w:tcPr>
            <w:tcW w:w="907" w:type="dxa"/>
            <w:vAlign w:val="center"/>
          </w:tcPr>
          <w:p>
            <w:pPr>
              <w:spacing w:line="360" w:lineRule="auto"/>
              <w:jc w:val="center"/>
              <w:rPr>
                <w:color w:val="000000"/>
              </w:rPr>
            </w:pPr>
            <w:r>
              <w:rPr>
                <w:color w:val="000000"/>
              </w:rPr>
              <w:t>0.339</w:t>
            </w:r>
          </w:p>
        </w:tc>
        <w:tc>
          <w:tcPr>
            <w:tcW w:w="907" w:type="dxa"/>
            <w:vAlign w:val="center"/>
          </w:tcPr>
          <w:p>
            <w:pPr>
              <w:spacing w:line="360" w:lineRule="auto"/>
              <w:jc w:val="center"/>
              <w:rPr>
                <w:color w:val="000000"/>
              </w:rPr>
            </w:pPr>
            <w:r>
              <w:rPr>
                <w:color w:val="000000"/>
              </w:rPr>
              <w:t>0.337</w:t>
            </w:r>
          </w:p>
        </w:tc>
        <w:tc>
          <w:tcPr>
            <w:tcW w:w="907" w:type="dxa"/>
            <w:vAlign w:val="center"/>
          </w:tcPr>
          <w:p>
            <w:pPr>
              <w:spacing w:line="360" w:lineRule="auto"/>
              <w:jc w:val="center"/>
              <w:rPr>
                <w:color w:val="000000"/>
              </w:rPr>
            </w:pPr>
            <w:r>
              <w:rPr>
                <w:color w:val="000000"/>
              </w:rPr>
              <w:t>0.343</w:t>
            </w:r>
          </w:p>
        </w:tc>
        <w:tc>
          <w:tcPr>
            <w:tcW w:w="907" w:type="dxa"/>
            <w:vAlign w:val="center"/>
          </w:tcPr>
          <w:p>
            <w:pPr>
              <w:spacing w:line="360" w:lineRule="auto"/>
              <w:jc w:val="center"/>
              <w:rPr>
                <w:color w:val="000000"/>
              </w:rPr>
            </w:pPr>
            <w:r>
              <w:rPr>
                <w:color w:val="000000"/>
              </w:rPr>
              <w:t>0.340</w:t>
            </w:r>
          </w:p>
        </w:tc>
        <w:tc>
          <w:tcPr>
            <w:tcW w:w="1774" w:type="dxa"/>
            <w:vAlign w:val="center"/>
          </w:tcPr>
          <w:p>
            <w:pPr>
              <w:spacing w:line="360" w:lineRule="auto"/>
              <w:jc w:val="center"/>
              <w:rPr>
                <w:color w:val="000000"/>
              </w:rPr>
            </w:pPr>
            <w:r>
              <w:rPr>
                <w:color w:val="000000"/>
              </w:rPr>
              <w:t>0.0203</w:t>
            </w:r>
            <w:r>
              <w:rPr>
                <w:rFonts w:hint="eastAsia"/>
                <w:color w:val="000000"/>
              </w:rPr>
              <w:t>2</w:t>
            </w:r>
          </w:p>
        </w:tc>
        <w:tc>
          <w:tcPr>
            <w:tcW w:w="1417" w:type="dxa"/>
            <w:vAlign w:val="center"/>
          </w:tcPr>
          <w:p>
            <w:pPr>
              <w:spacing w:line="360" w:lineRule="auto"/>
              <w:jc w:val="center"/>
              <w:rPr>
                <w:color w:val="000000"/>
              </w:rPr>
            </w:pPr>
            <w:r>
              <w:rPr>
                <w:color w:val="000000"/>
              </w:rPr>
              <w:t>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vAlign w:val="center"/>
          </w:tcPr>
          <w:p>
            <w:pPr>
              <w:spacing w:line="360" w:lineRule="auto"/>
              <w:jc w:val="center"/>
              <w:rPr>
                <w:color w:val="000000"/>
                <w:spacing w:val="60"/>
              </w:rPr>
            </w:pPr>
            <w:r>
              <w:rPr>
                <w:color w:val="000000"/>
                <w:spacing w:val="60"/>
              </w:rPr>
              <w:t>标液3</w:t>
            </w:r>
          </w:p>
        </w:tc>
        <w:tc>
          <w:tcPr>
            <w:tcW w:w="823" w:type="dxa"/>
            <w:vMerge w:val="continue"/>
            <w:vAlign w:val="center"/>
          </w:tcPr>
          <w:p>
            <w:pPr>
              <w:spacing w:line="360" w:lineRule="auto"/>
              <w:jc w:val="center"/>
              <w:rPr>
                <w:color w:val="000000"/>
              </w:rPr>
            </w:pPr>
          </w:p>
        </w:tc>
        <w:tc>
          <w:tcPr>
            <w:tcW w:w="907" w:type="dxa"/>
            <w:vAlign w:val="center"/>
          </w:tcPr>
          <w:p>
            <w:pPr>
              <w:spacing w:line="360" w:lineRule="auto"/>
              <w:jc w:val="center"/>
              <w:rPr>
                <w:color w:val="000000"/>
              </w:rPr>
            </w:pPr>
            <w:r>
              <w:rPr>
                <w:color w:val="000000"/>
              </w:rPr>
              <w:t>0.494</w:t>
            </w:r>
          </w:p>
        </w:tc>
        <w:tc>
          <w:tcPr>
            <w:tcW w:w="907" w:type="dxa"/>
            <w:vAlign w:val="center"/>
          </w:tcPr>
          <w:p>
            <w:pPr>
              <w:spacing w:line="360" w:lineRule="auto"/>
              <w:jc w:val="center"/>
              <w:rPr>
                <w:color w:val="000000"/>
              </w:rPr>
            </w:pPr>
            <w:r>
              <w:rPr>
                <w:color w:val="000000"/>
              </w:rPr>
              <w:t>0.516</w:t>
            </w:r>
          </w:p>
        </w:tc>
        <w:tc>
          <w:tcPr>
            <w:tcW w:w="907" w:type="dxa"/>
            <w:vAlign w:val="center"/>
          </w:tcPr>
          <w:p>
            <w:pPr>
              <w:spacing w:line="360" w:lineRule="auto"/>
              <w:jc w:val="center"/>
              <w:rPr>
                <w:color w:val="000000"/>
              </w:rPr>
            </w:pPr>
            <w:r>
              <w:rPr>
                <w:color w:val="000000"/>
              </w:rPr>
              <w:t>0.503</w:t>
            </w:r>
          </w:p>
        </w:tc>
        <w:tc>
          <w:tcPr>
            <w:tcW w:w="907" w:type="dxa"/>
            <w:vAlign w:val="center"/>
          </w:tcPr>
          <w:p>
            <w:pPr>
              <w:spacing w:line="360" w:lineRule="auto"/>
              <w:jc w:val="center"/>
              <w:rPr>
                <w:color w:val="000000"/>
              </w:rPr>
            </w:pPr>
            <w:r>
              <w:rPr>
                <w:color w:val="000000"/>
              </w:rPr>
              <w:t>0.504</w:t>
            </w:r>
          </w:p>
        </w:tc>
        <w:tc>
          <w:tcPr>
            <w:tcW w:w="1774" w:type="dxa"/>
            <w:vAlign w:val="center"/>
          </w:tcPr>
          <w:p>
            <w:pPr>
              <w:spacing w:line="360" w:lineRule="auto"/>
              <w:jc w:val="center"/>
              <w:rPr>
                <w:color w:val="000000"/>
              </w:rPr>
            </w:pPr>
            <w:r>
              <w:rPr>
                <w:color w:val="000000"/>
              </w:rPr>
              <w:t>0.030</w:t>
            </w:r>
            <w:r>
              <w:rPr>
                <w:rFonts w:hint="eastAsia"/>
                <w:color w:val="000000"/>
              </w:rPr>
              <w:t>48</w:t>
            </w:r>
          </w:p>
        </w:tc>
        <w:tc>
          <w:tcPr>
            <w:tcW w:w="1417" w:type="dxa"/>
            <w:vAlign w:val="center"/>
          </w:tcPr>
          <w:p>
            <w:pPr>
              <w:spacing w:line="360" w:lineRule="auto"/>
              <w:jc w:val="center"/>
              <w:rPr>
                <w:color w:val="000000"/>
              </w:rPr>
            </w:pPr>
            <w:r>
              <w:rPr>
                <w:color w:val="000000"/>
              </w:rPr>
              <w:t>100.8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vAlign w:val="center"/>
          </w:tcPr>
          <w:p>
            <w:pPr>
              <w:spacing w:line="360" w:lineRule="auto"/>
              <w:jc w:val="center"/>
              <w:rPr>
                <w:color w:val="000000"/>
                <w:spacing w:val="60"/>
              </w:rPr>
            </w:pPr>
            <w:r>
              <w:rPr>
                <w:color w:val="000000"/>
                <w:spacing w:val="60"/>
              </w:rPr>
              <w:t>标液4</w:t>
            </w:r>
          </w:p>
        </w:tc>
        <w:tc>
          <w:tcPr>
            <w:tcW w:w="823" w:type="dxa"/>
            <w:vMerge w:val="continue"/>
            <w:vAlign w:val="center"/>
          </w:tcPr>
          <w:p>
            <w:pPr>
              <w:spacing w:line="360" w:lineRule="auto"/>
              <w:jc w:val="center"/>
              <w:rPr>
                <w:color w:val="000000"/>
              </w:rPr>
            </w:pPr>
          </w:p>
        </w:tc>
        <w:tc>
          <w:tcPr>
            <w:tcW w:w="907" w:type="dxa"/>
            <w:vAlign w:val="center"/>
          </w:tcPr>
          <w:p>
            <w:pPr>
              <w:spacing w:line="360" w:lineRule="auto"/>
              <w:jc w:val="center"/>
              <w:rPr>
                <w:color w:val="000000"/>
              </w:rPr>
            </w:pPr>
            <w:r>
              <w:rPr>
                <w:color w:val="000000"/>
              </w:rPr>
              <w:t>0.658</w:t>
            </w:r>
          </w:p>
        </w:tc>
        <w:tc>
          <w:tcPr>
            <w:tcW w:w="907" w:type="dxa"/>
            <w:vAlign w:val="center"/>
          </w:tcPr>
          <w:p>
            <w:pPr>
              <w:spacing w:line="360" w:lineRule="auto"/>
              <w:jc w:val="center"/>
              <w:rPr>
                <w:color w:val="000000"/>
              </w:rPr>
            </w:pPr>
            <w:r>
              <w:rPr>
                <w:color w:val="000000"/>
              </w:rPr>
              <w:t>0.678</w:t>
            </w:r>
          </w:p>
        </w:tc>
        <w:tc>
          <w:tcPr>
            <w:tcW w:w="907" w:type="dxa"/>
            <w:vAlign w:val="center"/>
          </w:tcPr>
          <w:p>
            <w:pPr>
              <w:spacing w:line="360" w:lineRule="auto"/>
              <w:jc w:val="center"/>
              <w:rPr>
                <w:color w:val="000000"/>
              </w:rPr>
            </w:pPr>
            <w:r>
              <w:rPr>
                <w:color w:val="000000"/>
              </w:rPr>
              <w:t>0.663</w:t>
            </w:r>
          </w:p>
        </w:tc>
        <w:tc>
          <w:tcPr>
            <w:tcW w:w="907" w:type="dxa"/>
            <w:vAlign w:val="center"/>
          </w:tcPr>
          <w:p>
            <w:pPr>
              <w:spacing w:line="360" w:lineRule="auto"/>
              <w:jc w:val="center"/>
              <w:rPr>
                <w:color w:val="000000"/>
              </w:rPr>
            </w:pPr>
            <w:r>
              <w:rPr>
                <w:color w:val="000000"/>
              </w:rPr>
              <w:t>0.666</w:t>
            </w:r>
          </w:p>
        </w:tc>
        <w:tc>
          <w:tcPr>
            <w:tcW w:w="1774" w:type="dxa"/>
            <w:vAlign w:val="center"/>
          </w:tcPr>
          <w:p>
            <w:pPr>
              <w:spacing w:line="360" w:lineRule="auto"/>
              <w:jc w:val="center"/>
              <w:rPr>
                <w:color w:val="000000"/>
              </w:rPr>
            </w:pPr>
            <w:r>
              <w:rPr>
                <w:color w:val="000000"/>
              </w:rPr>
              <w:t>0.0406</w:t>
            </w:r>
            <w:r>
              <w:rPr>
                <w:rFonts w:hint="eastAsia"/>
                <w:color w:val="000000"/>
              </w:rPr>
              <w:t>4</w:t>
            </w:r>
          </w:p>
        </w:tc>
        <w:tc>
          <w:tcPr>
            <w:tcW w:w="1417" w:type="dxa"/>
            <w:vAlign w:val="center"/>
          </w:tcPr>
          <w:p>
            <w:pPr>
              <w:spacing w:line="360" w:lineRule="auto"/>
              <w:jc w:val="center"/>
              <w:rPr>
                <w:color w:val="000000"/>
              </w:rPr>
            </w:pPr>
            <w:r>
              <w:rPr>
                <w:color w:val="000000"/>
              </w:rPr>
              <w:t>100.9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vAlign w:val="center"/>
          </w:tcPr>
          <w:p>
            <w:pPr>
              <w:spacing w:line="360" w:lineRule="auto"/>
              <w:jc w:val="center"/>
              <w:rPr>
                <w:color w:val="000000"/>
                <w:spacing w:val="60"/>
              </w:rPr>
            </w:pPr>
            <w:r>
              <w:rPr>
                <w:color w:val="000000"/>
                <w:spacing w:val="60"/>
              </w:rPr>
              <w:t>标液5</w:t>
            </w:r>
          </w:p>
        </w:tc>
        <w:tc>
          <w:tcPr>
            <w:tcW w:w="823" w:type="dxa"/>
            <w:vMerge w:val="continue"/>
            <w:vAlign w:val="center"/>
          </w:tcPr>
          <w:p>
            <w:pPr>
              <w:spacing w:line="360" w:lineRule="auto"/>
              <w:jc w:val="center"/>
              <w:rPr>
                <w:color w:val="000000"/>
              </w:rPr>
            </w:pPr>
          </w:p>
        </w:tc>
        <w:tc>
          <w:tcPr>
            <w:tcW w:w="907" w:type="dxa"/>
            <w:vAlign w:val="center"/>
          </w:tcPr>
          <w:p>
            <w:pPr>
              <w:spacing w:line="360" w:lineRule="auto"/>
              <w:jc w:val="center"/>
              <w:rPr>
                <w:color w:val="000000"/>
              </w:rPr>
            </w:pPr>
            <w:r>
              <w:rPr>
                <w:color w:val="000000"/>
              </w:rPr>
              <w:t>0.831</w:t>
            </w:r>
          </w:p>
        </w:tc>
        <w:tc>
          <w:tcPr>
            <w:tcW w:w="907" w:type="dxa"/>
            <w:vAlign w:val="center"/>
          </w:tcPr>
          <w:p>
            <w:pPr>
              <w:spacing w:line="360" w:lineRule="auto"/>
              <w:jc w:val="center"/>
              <w:rPr>
                <w:color w:val="000000"/>
              </w:rPr>
            </w:pPr>
            <w:r>
              <w:rPr>
                <w:color w:val="000000"/>
              </w:rPr>
              <w:t>0.818</w:t>
            </w:r>
          </w:p>
        </w:tc>
        <w:tc>
          <w:tcPr>
            <w:tcW w:w="907" w:type="dxa"/>
            <w:vAlign w:val="center"/>
          </w:tcPr>
          <w:p>
            <w:pPr>
              <w:spacing w:line="360" w:lineRule="auto"/>
              <w:jc w:val="center"/>
              <w:rPr>
                <w:color w:val="000000"/>
              </w:rPr>
            </w:pPr>
            <w:r>
              <w:rPr>
                <w:color w:val="000000"/>
              </w:rPr>
              <w:t>0.823</w:t>
            </w:r>
          </w:p>
        </w:tc>
        <w:tc>
          <w:tcPr>
            <w:tcW w:w="907" w:type="dxa"/>
            <w:vAlign w:val="center"/>
          </w:tcPr>
          <w:p>
            <w:pPr>
              <w:spacing w:line="360" w:lineRule="auto"/>
              <w:jc w:val="center"/>
              <w:rPr>
                <w:color w:val="000000"/>
              </w:rPr>
            </w:pPr>
            <w:r>
              <w:rPr>
                <w:color w:val="000000"/>
              </w:rPr>
              <w:t>0.824</w:t>
            </w:r>
          </w:p>
        </w:tc>
        <w:tc>
          <w:tcPr>
            <w:tcW w:w="1774" w:type="dxa"/>
            <w:vAlign w:val="center"/>
          </w:tcPr>
          <w:p>
            <w:pPr>
              <w:spacing w:line="360" w:lineRule="auto"/>
              <w:jc w:val="center"/>
              <w:rPr>
                <w:color w:val="000000"/>
              </w:rPr>
            </w:pPr>
            <w:r>
              <w:rPr>
                <w:color w:val="000000"/>
              </w:rPr>
              <w:t>0.0508</w:t>
            </w:r>
            <w:r>
              <w:rPr>
                <w:rFonts w:hint="eastAsia"/>
                <w:color w:val="000000"/>
              </w:rPr>
              <w:t>0</w:t>
            </w:r>
          </w:p>
        </w:tc>
        <w:tc>
          <w:tcPr>
            <w:tcW w:w="1417" w:type="dxa"/>
            <w:vAlign w:val="center"/>
          </w:tcPr>
          <w:p>
            <w:pPr>
              <w:spacing w:line="360" w:lineRule="auto"/>
              <w:jc w:val="center"/>
              <w:rPr>
                <w:color w:val="000000"/>
              </w:rPr>
            </w:pPr>
            <w:r>
              <w:rPr>
                <w:color w:val="000000"/>
              </w:rPr>
              <w:t>100.4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vAlign w:val="center"/>
          </w:tcPr>
          <w:p>
            <w:pPr>
              <w:spacing w:line="360" w:lineRule="auto"/>
              <w:jc w:val="center"/>
              <w:rPr>
                <w:color w:val="000000"/>
                <w:spacing w:val="60"/>
              </w:rPr>
            </w:pPr>
            <w:r>
              <w:rPr>
                <w:color w:val="000000"/>
                <w:spacing w:val="60"/>
              </w:rPr>
              <w:t>标液6</w:t>
            </w:r>
          </w:p>
        </w:tc>
        <w:tc>
          <w:tcPr>
            <w:tcW w:w="823" w:type="dxa"/>
            <w:vMerge w:val="continue"/>
            <w:vAlign w:val="center"/>
          </w:tcPr>
          <w:p>
            <w:pPr>
              <w:spacing w:line="360" w:lineRule="auto"/>
              <w:jc w:val="center"/>
              <w:rPr>
                <w:color w:val="000000"/>
              </w:rPr>
            </w:pPr>
          </w:p>
        </w:tc>
        <w:tc>
          <w:tcPr>
            <w:tcW w:w="907" w:type="dxa"/>
            <w:vAlign w:val="center"/>
          </w:tcPr>
          <w:p>
            <w:pPr>
              <w:spacing w:line="360" w:lineRule="auto"/>
              <w:jc w:val="center"/>
              <w:rPr>
                <w:color w:val="000000"/>
              </w:rPr>
            </w:pPr>
            <w:r>
              <w:rPr>
                <w:color w:val="000000"/>
              </w:rPr>
              <w:t>0.964</w:t>
            </w:r>
          </w:p>
        </w:tc>
        <w:tc>
          <w:tcPr>
            <w:tcW w:w="907" w:type="dxa"/>
            <w:vAlign w:val="center"/>
          </w:tcPr>
          <w:p>
            <w:pPr>
              <w:spacing w:line="360" w:lineRule="auto"/>
              <w:jc w:val="center"/>
              <w:rPr>
                <w:color w:val="000000"/>
              </w:rPr>
            </w:pPr>
            <w:r>
              <w:rPr>
                <w:color w:val="000000"/>
              </w:rPr>
              <w:t>0.954</w:t>
            </w:r>
          </w:p>
        </w:tc>
        <w:tc>
          <w:tcPr>
            <w:tcW w:w="907" w:type="dxa"/>
            <w:vAlign w:val="center"/>
          </w:tcPr>
          <w:p>
            <w:pPr>
              <w:spacing w:line="360" w:lineRule="auto"/>
              <w:jc w:val="center"/>
              <w:rPr>
                <w:color w:val="000000"/>
              </w:rPr>
            </w:pPr>
            <w:r>
              <w:rPr>
                <w:color w:val="000000"/>
              </w:rPr>
              <w:t>0.991</w:t>
            </w:r>
          </w:p>
        </w:tc>
        <w:tc>
          <w:tcPr>
            <w:tcW w:w="907" w:type="dxa"/>
            <w:vAlign w:val="center"/>
          </w:tcPr>
          <w:p>
            <w:pPr>
              <w:spacing w:line="360" w:lineRule="auto"/>
              <w:jc w:val="center"/>
              <w:rPr>
                <w:color w:val="000000"/>
              </w:rPr>
            </w:pPr>
            <w:r>
              <w:rPr>
                <w:color w:val="000000"/>
              </w:rPr>
              <w:t>0.970</w:t>
            </w:r>
          </w:p>
        </w:tc>
        <w:tc>
          <w:tcPr>
            <w:tcW w:w="1774" w:type="dxa"/>
            <w:vAlign w:val="center"/>
          </w:tcPr>
          <w:p>
            <w:pPr>
              <w:spacing w:line="360" w:lineRule="auto"/>
              <w:jc w:val="center"/>
              <w:rPr>
                <w:color w:val="000000"/>
              </w:rPr>
            </w:pPr>
            <w:r>
              <w:rPr>
                <w:color w:val="000000"/>
              </w:rPr>
              <w:t>0.06</w:t>
            </w:r>
            <w:r>
              <w:rPr>
                <w:rFonts w:hint="eastAsia"/>
                <w:color w:val="000000"/>
              </w:rPr>
              <w:t>096</w:t>
            </w:r>
          </w:p>
        </w:tc>
        <w:tc>
          <w:tcPr>
            <w:tcW w:w="1417" w:type="dxa"/>
            <w:vAlign w:val="center"/>
          </w:tcPr>
          <w:p>
            <w:pPr>
              <w:spacing w:line="360" w:lineRule="auto"/>
              <w:jc w:val="center"/>
              <w:rPr>
                <w:color w:val="000000"/>
              </w:rPr>
            </w:pPr>
            <w:r>
              <w:rPr>
                <w:color w:val="000000"/>
              </w:rPr>
              <w:t>98.9</w:t>
            </w:r>
          </w:p>
        </w:tc>
      </w:tr>
    </w:tbl>
    <w:p>
      <w:pPr>
        <w:spacing w:line="360" w:lineRule="auto"/>
        <w:ind w:firstLine="428" w:firstLineChars="200"/>
        <w:jc w:val="both"/>
        <w:rPr>
          <w:color w:val="000000"/>
          <w:spacing w:val="2"/>
          <w:szCs w:val="22"/>
        </w:rPr>
      </w:pPr>
      <w:r>
        <w:rPr>
          <w:rFonts w:hint="eastAsia"/>
          <w:color w:val="000000"/>
          <w:spacing w:val="2"/>
          <w:szCs w:val="22"/>
        </w:rPr>
        <w:t>3.3标准曲线的绘制</w:t>
      </w:r>
    </w:p>
    <w:p>
      <w:pPr>
        <w:spacing w:line="360" w:lineRule="auto"/>
        <w:ind w:firstLine="428" w:firstLineChars="200"/>
        <w:jc w:val="both"/>
        <w:rPr>
          <w:color w:val="000000"/>
          <w:szCs w:val="22"/>
        </w:rPr>
      </w:pPr>
      <w:r>
        <w:rPr>
          <w:color w:val="000000"/>
          <w:spacing w:val="2"/>
          <w:szCs w:val="22"/>
        </w:rPr>
        <w:t>以葡萄糖标准溶液的平均吸光值为横坐标，理论浓度（</w:t>
      </w:r>
      <w:r>
        <w:rPr>
          <w:color w:val="000000"/>
          <w:szCs w:val="22"/>
        </w:rPr>
        <w:t>mg/mL</w:t>
      </w:r>
      <w:r>
        <w:rPr>
          <w:color w:val="000000"/>
          <w:spacing w:val="2"/>
          <w:szCs w:val="22"/>
        </w:rPr>
        <w:t>）为纵坐标做图并进行</w:t>
      </w:r>
      <w:r>
        <w:rPr>
          <w:color w:val="000000"/>
          <w:szCs w:val="22"/>
        </w:rPr>
        <w:t>线性回归，得到标准曲线的回归方程为</w:t>
      </w:r>
      <w:r>
        <w:rPr>
          <w:rFonts w:hint="eastAsia"/>
          <w:color w:val="000000"/>
          <w:szCs w:val="22"/>
        </w:rPr>
        <w:t>：y=0.0635x-0.0013  R</w:t>
      </w:r>
      <w:r>
        <w:rPr>
          <w:rFonts w:hint="eastAsia"/>
          <w:color w:val="000000"/>
          <w:szCs w:val="22"/>
          <w:vertAlign w:val="superscript"/>
        </w:rPr>
        <w:t>2</w:t>
      </w:r>
      <w:r>
        <w:rPr>
          <w:rFonts w:hint="eastAsia"/>
          <w:color w:val="000000"/>
          <w:szCs w:val="22"/>
        </w:rPr>
        <w:t>=0.9995，如下图，并把吸光值带入曲线得准确度。</w:t>
      </w:r>
    </w:p>
    <w:p>
      <w:pPr>
        <w:spacing w:line="360" w:lineRule="auto"/>
        <w:ind w:firstLine="420" w:firstLineChars="200"/>
        <w:jc w:val="both"/>
        <w:rPr>
          <w:color w:val="000000"/>
        </w:rPr>
      </w:pPr>
      <w:r>
        <mc:AlternateContent>
          <mc:Choice Requires="wpg">
            <w:drawing>
              <wp:anchor distT="0" distB="0" distL="114300" distR="114300" simplePos="0" relativeHeight="251661312" behindDoc="0" locked="0" layoutInCell="1" allowOverlap="1">
                <wp:simplePos x="0" y="0"/>
                <wp:positionH relativeFrom="column">
                  <wp:posOffset>266700</wp:posOffset>
                </wp:positionH>
                <wp:positionV relativeFrom="paragraph">
                  <wp:posOffset>120650</wp:posOffset>
                </wp:positionV>
                <wp:extent cx="5046980" cy="3034665"/>
                <wp:effectExtent l="0" t="4445" r="12700" b="8890"/>
                <wp:wrapTopAndBottom/>
                <wp:docPr id="6" name="组合 5"/>
                <wp:cNvGraphicFramePr/>
                <a:graphic xmlns:a="http://schemas.openxmlformats.org/drawingml/2006/main">
                  <a:graphicData uri="http://schemas.microsoft.com/office/word/2010/wordprocessingGroup">
                    <wpg:wgp>
                      <wpg:cNvGrpSpPr/>
                      <wpg:grpSpPr>
                        <a:xfrm>
                          <a:off x="0" y="0"/>
                          <a:ext cx="5047200" cy="3034800"/>
                          <a:chOff x="0" y="-91672"/>
                          <a:chExt cx="5048250" cy="3035213"/>
                        </a:xfrm>
                      </wpg:grpSpPr>
                      <wps:wsp>
                        <wps:cNvPr id="2" name="文本框 2"/>
                        <wps:cNvSpPr txBox="1">
                          <a:spLocks noChangeArrowheads="1"/>
                        </wps:cNvSpPr>
                        <wps:spPr bwMode="auto">
                          <a:xfrm>
                            <a:off x="0" y="433388"/>
                            <a:ext cx="381000" cy="2058670"/>
                          </a:xfrm>
                          <a:prstGeom prst="rect">
                            <a:avLst/>
                          </a:prstGeom>
                          <a:solidFill>
                            <a:srgbClr val="FFFFFF"/>
                          </a:solidFill>
                          <a:ln w="9525">
                            <a:noFill/>
                            <a:miter lim="800000"/>
                          </a:ln>
                        </wps:spPr>
                        <wps:txbx>
                          <w:txbxContent>
                            <w:p>
                              <w:pPr>
                                <w:pStyle w:val="8"/>
                                <w:spacing w:before="0" w:beforeAutospacing="0" w:after="0" w:afterAutospacing="0"/>
                              </w:pPr>
                              <w:r>
                                <w:rPr>
                                  <w:rFonts w:hint="eastAsia" w:ascii="Times New Roman" w:cstheme="minorBidi"/>
                                  <w:sz w:val="20"/>
                                  <w:szCs w:val="20"/>
                                </w:rPr>
                                <w:t>葡萄糖浓度</w:t>
                              </w:r>
                              <w:r>
                                <w:rPr>
                                  <w:rFonts w:ascii="Times New Roman" w:hAnsi="Times New Roman" w:cstheme="minorBidi"/>
                                  <w:sz w:val="20"/>
                                  <w:szCs w:val="20"/>
                                </w:rPr>
                                <w:t>mg/mL</w:t>
                              </w:r>
                            </w:p>
                          </w:txbxContent>
                        </wps:txbx>
                        <wps:bodyPr rot="0" vert="horz" wrap="square" lIns="91440" tIns="45720" rIns="91440" bIns="45720" anchor="t" anchorCtr="0">
                          <a:noAutofit/>
                        </wps:bodyPr>
                      </wps:wsp>
                      <wps:wsp>
                        <wps:cNvPr id="3" name="文本框 2"/>
                        <wps:cNvSpPr txBox="1">
                          <a:spLocks noChangeArrowheads="1"/>
                        </wps:cNvSpPr>
                        <wps:spPr bwMode="auto">
                          <a:xfrm>
                            <a:off x="2247900" y="2651529"/>
                            <a:ext cx="704850" cy="292012"/>
                          </a:xfrm>
                          <a:prstGeom prst="rect">
                            <a:avLst/>
                          </a:prstGeom>
                          <a:solidFill>
                            <a:srgbClr val="FFFFFF"/>
                          </a:solidFill>
                          <a:ln w="9525">
                            <a:noFill/>
                            <a:miter lim="800000"/>
                          </a:ln>
                        </wps:spPr>
                        <wps:txbx>
                          <w:txbxContent>
                            <w:p>
                              <w:pPr>
                                <w:pStyle w:val="8"/>
                                <w:spacing w:before="0" w:beforeAutospacing="0" w:after="0" w:afterAutospacing="0"/>
                              </w:pPr>
                              <w:r>
                                <w:rPr>
                                  <w:rFonts w:hint="eastAsia" w:ascii="Times New Roman" w:cstheme="minorBidi"/>
                                  <w:sz w:val="20"/>
                                  <w:szCs w:val="20"/>
                                </w:rPr>
                                <w:t>吸光值</w:t>
                              </w:r>
                            </w:p>
                          </w:txbxContent>
                        </wps:txbx>
                        <wps:bodyPr rot="0" vert="horz" wrap="square" lIns="91440" tIns="45720" rIns="91440" bIns="45720" anchor="t" anchorCtr="0">
                          <a:noAutofit/>
                        </wps:bodyPr>
                      </wps:wsp>
                      <wpg:graphicFrame>
                        <wpg:cNvPr id="4" name="图表 4"/>
                        <wpg:cNvFrPr/>
                        <wpg:xfrm>
                          <a:off x="476250" y="-91672"/>
                          <a:ext cx="4572000" cy="2743200"/>
                        </wpg:xfrm>
                        <a:graphic>
                          <a:graphicData uri="http://schemas.openxmlformats.org/drawingml/2006/chart">
                            <c:chart xmlns:c="http://schemas.openxmlformats.org/drawingml/2006/chart" xmlns:r="http://schemas.openxmlformats.org/officeDocument/2006/relationships" r:id="rId7"/>
                          </a:graphicData>
                        </a:graphic>
                      </wpg:graphicFrame>
                    </wpg:wgp>
                  </a:graphicData>
                </a:graphic>
              </wp:anchor>
            </w:drawing>
          </mc:Choice>
          <mc:Fallback>
            <w:pict>
              <v:group id="组合 5" o:spid="_x0000_s1026" o:spt="203" style="position:absolute;left:0pt;margin-left:21pt;margin-top:9.5pt;height:238.95pt;width:397.4pt;mso-wrap-distance-bottom:0pt;mso-wrap-distance-top:0pt;z-index:251661312;mso-width-relative:page;mso-height-relative:page;" coordorigin="0,-91672" coordsize="5048250,3035213" o:gfxdata="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">
                <o:lock v:ext="edit" aspectratio="f"/>
                <v:shape id="_x0000_s1026" o:spid="_x0000_s1026" o:spt="202" type="#_x0000_t202" style="position:absolute;left:0;top:433388;height:2058670;width:381000;" fillcolor="#FFFFFF" filled="t" stroked="f" coordsize="21600,21600" o:gfxdata="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gt8frtwAAANoAAAAP&#10;AAAAAAAAAAEAIAAAACIAAABkcnMvZG93bnJldi54bWxQSwECFAAUAAAACACHTuJAMy8FnjsAAAA5&#10;AAAAEAAAAAAAAAABACAAAAAGAQAAZHJzL3NoYXBleG1sLnhtbFBLBQYAAAAABgAGAFsBAACwAwAA&#10;AAA=&#10;">
                  <v:fill on="t" focussize="0,0"/>
                  <v:stroke on="f" miterlimit="8" joinstyle="miter"/>
                  <v:imagedata o:title=""/>
                  <o:lock v:ext="edit" aspectratio="f"/>
                  <v:textbox>
                    <w:txbxContent>
                      <w:p>
                        <w:pPr>
                          <w:pStyle w:val="8"/>
                          <w:spacing w:before="0" w:beforeAutospacing="0" w:after="0" w:afterAutospacing="0"/>
                        </w:pPr>
                        <w:r>
                          <w:rPr>
                            <w:rFonts w:hint="eastAsia" w:ascii="Times New Roman" w:cstheme="minorBidi"/>
                            <w:sz w:val="20"/>
                            <w:szCs w:val="20"/>
                          </w:rPr>
                          <w:t>葡萄糖浓度</w:t>
                        </w:r>
                        <w:r>
                          <w:rPr>
                            <w:rFonts w:ascii="Times New Roman" w:hAnsi="Times New Roman" w:cstheme="minorBidi"/>
                            <w:sz w:val="20"/>
                            <w:szCs w:val="20"/>
                          </w:rPr>
                          <w:t>mg/mL</w:t>
                        </w:r>
                      </w:p>
                    </w:txbxContent>
                  </v:textbox>
                </v:shape>
                <v:shape id="文本框 2" o:spid="_x0000_s1026" o:spt="202" type="#_x0000_t202" style="position:absolute;left:2247900;top:2651529;height:292012;width:704850;" fillcolor="#FFFFFF" filled="t" stroked="f" coordsize="21600,21600" o:gfxdata="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P+2JwtwAAANoAAAAP&#10;AAAAAAAAAAEAIAAAACIAAABkcnMvZG93bnJldi54bWxQSwECFAAUAAAACACHTuJAMy8FnjsAAAA5&#10;AAAAEAAAAAAAAAABACAAAAAGAQAAZHJzL3NoYXBleG1sLnhtbFBLBQYAAAAABgAGAFsBAACwAwAA&#10;AAA=&#10;">
                  <v:fill on="t" focussize="0,0"/>
                  <v:stroke on="f" miterlimit="8" joinstyle="miter"/>
                  <v:imagedata o:title=""/>
                  <o:lock v:ext="edit" aspectratio="f"/>
                  <v:textbox>
                    <w:txbxContent>
                      <w:p>
                        <w:pPr>
                          <w:pStyle w:val="8"/>
                          <w:spacing w:before="0" w:beforeAutospacing="0" w:after="0" w:afterAutospacing="0"/>
                        </w:pPr>
                        <w:r>
                          <w:rPr>
                            <w:rFonts w:hint="eastAsia" w:ascii="Times New Roman" w:cstheme="minorBidi"/>
                            <w:sz w:val="20"/>
                            <w:szCs w:val="20"/>
                          </w:rPr>
                          <w:t>吸光值</w:t>
                        </w:r>
                      </w:p>
                    </w:txbxContent>
                  </v:textbox>
                </v:shape>
                <v:rect id="_x0000_s1026" o:spid="_x0000_s1026" o:spt="75" style="position:absolute;left:471486;top:-96435;height:2752727;width:4581527;" coordsize="21600,21600" o:gfxdata="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Wa3JbsAAADa&#10;AAAADwAAAAAAAAABACAAAAAiAAAAZHJzL2Rvd25yZXYueG1sUEsBAhQAFAAAAAgAh07iQDMvBZ47&#10;AAAAOQAAABAAAAAAAAAAAQAgAAAACgEAAGRycy9zaGFwZXhtbC54bWxQSwUGAAAAAAYABgBbAQAA&#10;tAMAAAAA&#10;">
                  <v:imagedata r:id="rId8" o:title=""/>
                  <o:lock v:ext="edit"/>
                </v:rect>
                <w10:wrap type="topAndBottom"/>
              </v:group>
            </w:pict>
          </mc:Fallback>
        </mc:AlternateContent>
      </w:r>
    </w:p>
    <w:p>
      <w:pPr>
        <w:spacing w:line="360" w:lineRule="auto"/>
        <w:ind w:firstLine="424" w:firstLineChars="200"/>
        <w:jc w:val="both"/>
        <w:rPr>
          <w:color w:val="000000"/>
          <w:spacing w:val="1"/>
        </w:rPr>
      </w:pPr>
      <w:r>
        <w:rPr>
          <w:rFonts w:hint="eastAsia"/>
          <w:color w:val="000000"/>
          <w:spacing w:val="1"/>
        </w:rPr>
        <w:t xml:space="preserve">3.4 </w:t>
      </w:r>
      <w:r>
        <w:rPr>
          <w:color w:val="000000"/>
          <w:spacing w:val="1"/>
        </w:rPr>
        <w:t>标准曲线的回测：</w:t>
      </w:r>
    </w:p>
    <w:p>
      <w:pPr>
        <w:spacing w:line="360" w:lineRule="auto"/>
        <w:ind w:left="210" w:leftChars="100" w:firstLine="424" w:firstLineChars="200"/>
        <w:jc w:val="both"/>
        <w:rPr>
          <w:color w:val="000000"/>
        </w:rPr>
      </w:pPr>
      <w:r>
        <w:rPr>
          <w:color w:val="000000"/>
          <w:spacing w:val="1"/>
        </w:rPr>
        <w:t>选取位于标准曲线</w:t>
      </w:r>
      <w:r>
        <w:rPr>
          <w:rFonts w:hint="eastAsia"/>
          <w:color w:val="000000"/>
          <w:spacing w:val="1"/>
        </w:rPr>
        <w:t>内</w:t>
      </w:r>
      <w:r>
        <w:rPr>
          <w:color w:val="000000"/>
          <w:spacing w:val="1"/>
        </w:rPr>
        <w:t>部的两个已知浓度</w:t>
      </w:r>
      <w:r>
        <w:rPr>
          <w:color w:val="000000"/>
        </w:rPr>
        <w:t>0.0538mg/mL</w:t>
      </w:r>
      <w:r>
        <w:rPr>
          <w:rFonts w:hint="eastAsia"/>
          <w:color w:val="000000"/>
        </w:rPr>
        <w:t>与</w:t>
      </w:r>
      <w:r>
        <w:rPr>
          <w:color w:val="000000"/>
        </w:rPr>
        <w:t>0.0215</w:t>
      </w:r>
      <w:r>
        <w:rPr>
          <w:rFonts w:hint="eastAsia"/>
          <w:color w:val="000000"/>
        </w:rPr>
        <w:t>2</w:t>
      </w:r>
      <w:r>
        <w:rPr>
          <w:color w:val="000000"/>
        </w:rPr>
        <w:t>mg/mL</w:t>
      </w:r>
      <w:r>
        <w:rPr>
          <w:rFonts w:hint="eastAsia"/>
          <w:color w:val="000000"/>
        </w:rPr>
        <w:t>的回测液2ml</w:t>
      </w:r>
      <w:r>
        <w:rPr>
          <w:rFonts w:hint="eastAsia"/>
          <w:color w:val="000000"/>
          <w:spacing w:val="1"/>
        </w:rPr>
        <w:t>重复上述检测步骤</w:t>
      </w:r>
      <w:r>
        <w:rPr>
          <w:color w:val="000000"/>
          <w:spacing w:val="1"/>
        </w:rPr>
        <w:t>进行回测，</w:t>
      </w:r>
      <w:r>
        <w:rPr>
          <w:rFonts w:hint="eastAsia"/>
          <w:color w:val="000000"/>
          <w:spacing w:val="1"/>
        </w:rPr>
        <w:t>记录</w:t>
      </w:r>
      <w:r>
        <w:rPr>
          <w:color w:val="000000"/>
        </w:rPr>
        <w:t>吸光值</w:t>
      </w:r>
      <w:r>
        <w:rPr>
          <w:rFonts w:hint="eastAsia"/>
          <w:color w:val="000000"/>
        </w:rPr>
        <w:t>，并代入上述曲线计算准确度（校验准确度需在95%-105%之间）</w:t>
      </w:r>
      <w:r>
        <w:rPr>
          <w:color w:val="000000"/>
        </w:rPr>
        <w:t>。</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10"/>
        <w:gridCol w:w="907"/>
        <w:gridCol w:w="907"/>
        <w:gridCol w:w="907"/>
        <w:gridCol w:w="909"/>
        <w:gridCol w:w="1938"/>
        <w:gridCol w:w="13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vAlign w:val="center"/>
          </w:tcPr>
          <w:p>
            <w:pPr>
              <w:spacing w:line="360" w:lineRule="auto"/>
              <w:jc w:val="center"/>
              <w:rPr>
                <w:color w:val="000000"/>
                <w:spacing w:val="60"/>
              </w:rPr>
            </w:pPr>
            <w:r>
              <w:rPr>
                <w:rFonts w:hint="eastAsia"/>
                <w:color w:val="000000"/>
                <w:spacing w:val="60"/>
              </w:rPr>
              <w:t>测试液</w:t>
            </w:r>
          </w:p>
        </w:tc>
        <w:tc>
          <w:tcPr>
            <w:tcW w:w="810" w:type="dxa"/>
            <w:vAlign w:val="center"/>
          </w:tcPr>
          <w:p>
            <w:pPr>
              <w:spacing w:line="360" w:lineRule="auto"/>
              <w:jc w:val="center"/>
              <w:rPr>
                <w:color w:val="000000"/>
              </w:rPr>
            </w:pPr>
            <w:r>
              <w:rPr>
                <w:rFonts w:hint="eastAsia"/>
                <w:color w:val="000000"/>
              </w:rPr>
              <w:t>空白吸光值</w:t>
            </w:r>
          </w:p>
        </w:tc>
        <w:tc>
          <w:tcPr>
            <w:tcW w:w="2721" w:type="dxa"/>
            <w:gridSpan w:val="3"/>
            <w:vAlign w:val="center"/>
          </w:tcPr>
          <w:p>
            <w:pPr>
              <w:spacing w:line="360" w:lineRule="auto"/>
              <w:jc w:val="center"/>
              <w:rPr>
                <w:color w:val="000000"/>
              </w:rPr>
            </w:pPr>
            <w:r>
              <w:rPr>
                <w:color w:val="000000"/>
              </w:rPr>
              <w:t>吸光值</w:t>
            </w:r>
            <w:r>
              <w:rPr>
                <w:rFonts w:hint="eastAsia"/>
                <w:color w:val="000000"/>
              </w:rPr>
              <w:t>（已扣除空白吸光值）</w:t>
            </w:r>
          </w:p>
        </w:tc>
        <w:tc>
          <w:tcPr>
            <w:tcW w:w="909" w:type="dxa"/>
            <w:vAlign w:val="center"/>
          </w:tcPr>
          <w:p>
            <w:pPr>
              <w:spacing w:line="360" w:lineRule="auto"/>
              <w:jc w:val="center"/>
              <w:rPr>
                <w:color w:val="000000"/>
                <w:spacing w:val="60"/>
              </w:rPr>
            </w:pPr>
            <w:r>
              <w:rPr>
                <w:color w:val="000000"/>
                <w:spacing w:val="60"/>
              </w:rPr>
              <w:t>平均吸光值</w:t>
            </w:r>
          </w:p>
        </w:tc>
        <w:tc>
          <w:tcPr>
            <w:tcW w:w="1938" w:type="dxa"/>
            <w:vAlign w:val="center"/>
          </w:tcPr>
          <w:p>
            <w:pPr>
              <w:spacing w:line="360" w:lineRule="auto"/>
              <w:jc w:val="center"/>
              <w:rPr>
                <w:color w:val="000000"/>
                <w:spacing w:val="60"/>
              </w:rPr>
            </w:pPr>
            <w:r>
              <w:rPr>
                <w:color w:val="000000"/>
                <w:spacing w:val="60"/>
              </w:rPr>
              <w:t>理论浓度（mg/mL）</w:t>
            </w:r>
          </w:p>
        </w:tc>
        <w:tc>
          <w:tcPr>
            <w:tcW w:w="1301" w:type="dxa"/>
            <w:vAlign w:val="center"/>
          </w:tcPr>
          <w:p>
            <w:pPr>
              <w:spacing w:line="360" w:lineRule="auto"/>
              <w:jc w:val="center"/>
              <w:rPr>
                <w:color w:val="000000"/>
                <w:spacing w:val="60"/>
              </w:rPr>
            </w:pPr>
            <w:r>
              <w:rPr>
                <w:color w:val="000000"/>
                <w:spacing w:val="60"/>
              </w:rPr>
              <w:t>准确度（%）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vAlign w:val="center"/>
          </w:tcPr>
          <w:p>
            <w:pPr>
              <w:spacing w:line="360" w:lineRule="auto"/>
              <w:jc w:val="center"/>
              <w:rPr>
                <w:color w:val="000000"/>
                <w:spacing w:val="60"/>
              </w:rPr>
            </w:pPr>
            <w:r>
              <w:rPr>
                <w:color w:val="000000"/>
                <w:spacing w:val="60"/>
              </w:rPr>
              <w:t>回测液1</w:t>
            </w:r>
          </w:p>
        </w:tc>
        <w:tc>
          <w:tcPr>
            <w:tcW w:w="810" w:type="dxa"/>
            <w:vMerge w:val="restart"/>
            <w:vAlign w:val="center"/>
          </w:tcPr>
          <w:p>
            <w:pPr>
              <w:spacing w:line="360" w:lineRule="auto"/>
              <w:jc w:val="center"/>
              <w:rPr>
                <w:color w:val="000000"/>
              </w:rPr>
            </w:pPr>
            <w:r>
              <w:rPr>
                <w:rFonts w:hint="eastAsia"/>
                <w:color w:val="000000"/>
              </w:rPr>
              <w:t>0.013</w:t>
            </w:r>
          </w:p>
        </w:tc>
        <w:tc>
          <w:tcPr>
            <w:tcW w:w="907" w:type="dxa"/>
            <w:vAlign w:val="center"/>
          </w:tcPr>
          <w:p>
            <w:pPr>
              <w:spacing w:line="360" w:lineRule="auto"/>
              <w:jc w:val="center"/>
              <w:rPr>
                <w:color w:val="000000"/>
              </w:rPr>
            </w:pPr>
            <w:r>
              <w:rPr>
                <w:color w:val="000000"/>
              </w:rPr>
              <w:t>0.875</w:t>
            </w:r>
          </w:p>
        </w:tc>
        <w:tc>
          <w:tcPr>
            <w:tcW w:w="907" w:type="dxa"/>
            <w:vAlign w:val="center"/>
          </w:tcPr>
          <w:p>
            <w:pPr>
              <w:spacing w:line="360" w:lineRule="auto"/>
              <w:jc w:val="center"/>
              <w:rPr>
                <w:color w:val="000000"/>
              </w:rPr>
            </w:pPr>
            <w:r>
              <w:rPr>
                <w:color w:val="000000"/>
              </w:rPr>
              <w:t>0.877</w:t>
            </w:r>
          </w:p>
        </w:tc>
        <w:tc>
          <w:tcPr>
            <w:tcW w:w="907" w:type="dxa"/>
            <w:vAlign w:val="center"/>
          </w:tcPr>
          <w:p>
            <w:pPr>
              <w:spacing w:line="360" w:lineRule="auto"/>
              <w:jc w:val="center"/>
              <w:rPr>
                <w:color w:val="000000"/>
              </w:rPr>
            </w:pPr>
            <w:r>
              <w:rPr>
                <w:color w:val="000000"/>
              </w:rPr>
              <w:t>0.876</w:t>
            </w:r>
          </w:p>
        </w:tc>
        <w:tc>
          <w:tcPr>
            <w:tcW w:w="909" w:type="dxa"/>
            <w:vAlign w:val="center"/>
          </w:tcPr>
          <w:p>
            <w:pPr>
              <w:spacing w:line="360" w:lineRule="auto"/>
              <w:jc w:val="center"/>
              <w:rPr>
                <w:color w:val="000000"/>
              </w:rPr>
            </w:pPr>
            <w:r>
              <w:rPr>
                <w:color w:val="000000"/>
              </w:rPr>
              <w:t>0.876</w:t>
            </w:r>
          </w:p>
        </w:tc>
        <w:tc>
          <w:tcPr>
            <w:tcW w:w="1938" w:type="dxa"/>
            <w:vAlign w:val="center"/>
          </w:tcPr>
          <w:p>
            <w:pPr>
              <w:spacing w:line="360" w:lineRule="auto"/>
              <w:jc w:val="center"/>
              <w:rPr>
                <w:color w:val="000000"/>
              </w:rPr>
            </w:pPr>
            <w:r>
              <w:rPr>
                <w:color w:val="000000"/>
              </w:rPr>
              <w:t>0.0538</w:t>
            </w:r>
          </w:p>
        </w:tc>
        <w:tc>
          <w:tcPr>
            <w:tcW w:w="1301" w:type="dxa"/>
            <w:vAlign w:val="center"/>
          </w:tcPr>
          <w:p>
            <w:pPr>
              <w:spacing w:line="360" w:lineRule="auto"/>
              <w:jc w:val="center"/>
              <w:rPr>
                <w:color w:val="000000"/>
              </w:rPr>
            </w:pPr>
            <w:r>
              <w:rPr>
                <w:color w:val="000000"/>
              </w:rPr>
              <w:t>101.0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1560" w:type="dxa"/>
            <w:vAlign w:val="center"/>
          </w:tcPr>
          <w:p>
            <w:pPr>
              <w:spacing w:line="360" w:lineRule="auto"/>
              <w:jc w:val="center"/>
              <w:rPr>
                <w:color w:val="000000"/>
                <w:spacing w:val="60"/>
              </w:rPr>
            </w:pPr>
            <w:r>
              <w:rPr>
                <w:color w:val="000000"/>
                <w:spacing w:val="60"/>
              </w:rPr>
              <w:t>回测液2</w:t>
            </w:r>
          </w:p>
        </w:tc>
        <w:tc>
          <w:tcPr>
            <w:tcW w:w="810" w:type="dxa"/>
            <w:vMerge w:val="continue"/>
            <w:vAlign w:val="center"/>
          </w:tcPr>
          <w:p>
            <w:pPr>
              <w:spacing w:line="360" w:lineRule="auto"/>
              <w:jc w:val="center"/>
              <w:rPr>
                <w:color w:val="000000"/>
              </w:rPr>
            </w:pPr>
          </w:p>
        </w:tc>
        <w:tc>
          <w:tcPr>
            <w:tcW w:w="907" w:type="dxa"/>
            <w:vAlign w:val="center"/>
          </w:tcPr>
          <w:p>
            <w:pPr>
              <w:spacing w:line="360" w:lineRule="auto"/>
              <w:jc w:val="center"/>
              <w:rPr>
                <w:color w:val="000000"/>
              </w:rPr>
            </w:pPr>
            <w:r>
              <w:rPr>
                <w:color w:val="000000"/>
              </w:rPr>
              <w:t>0.359</w:t>
            </w:r>
          </w:p>
        </w:tc>
        <w:tc>
          <w:tcPr>
            <w:tcW w:w="907" w:type="dxa"/>
            <w:vAlign w:val="center"/>
          </w:tcPr>
          <w:p>
            <w:pPr>
              <w:spacing w:line="360" w:lineRule="auto"/>
              <w:jc w:val="center"/>
              <w:rPr>
                <w:color w:val="000000"/>
              </w:rPr>
            </w:pPr>
            <w:r>
              <w:rPr>
                <w:color w:val="000000"/>
              </w:rPr>
              <w:t>0.355</w:t>
            </w:r>
          </w:p>
        </w:tc>
        <w:tc>
          <w:tcPr>
            <w:tcW w:w="907" w:type="dxa"/>
            <w:vAlign w:val="center"/>
          </w:tcPr>
          <w:p>
            <w:pPr>
              <w:spacing w:line="360" w:lineRule="auto"/>
              <w:jc w:val="center"/>
              <w:rPr>
                <w:color w:val="000000"/>
              </w:rPr>
            </w:pPr>
            <w:r>
              <w:rPr>
                <w:color w:val="000000"/>
              </w:rPr>
              <w:t>0.365</w:t>
            </w:r>
          </w:p>
        </w:tc>
        <w:tc>
          <w:tcPr>
            <w:tcW w:w="909" w:type="dxa"/>
            <w:vAlign w:val="center"/>
          </w:tcPr>
          <w:p>
            <w:pPr>
              <w:spacing w:line="360" w:lineRule="auto"/>
              <w:jc w:val="center"/>
              <w:rPr>
                <w:color w:val="000000"/>
              </w:rPr>
            </w:pPr>
            <w:r>
              <w:rPr>
                <w:color w:val="000000"/>
              </w:rPr>
              <w:t>0.360</w:t>
            </w:r>
          </w:p>
        </w:tc>
        <w:tc>
          <w:tcPr>
            <w:tcW w:w="1938" w:type="dxa"/>
            <w:vAlign w:val="center"/>
          </w:tcPr>
          <w:p>
            <w:pPr>
              <w:spacing w:line="360" w:lineRule="auto"/>
              <w:jc w:val="center"/>
              <w:rPr>
                <w:color w:val="000000"/>
              </w:rPr>
            </w:pPr>
            <w:r>
              <w:rPr>
                <w:color w:val="000000"/>
              </w:rPr>
              <w:t>0.0215</w:t>
            </w:r>
            <w:r>
              <w:rPr>
                <w:rFonts w:hint="eastAsia"/>
                <w:color w:val="000000"/>
              </w:rPr>
              <w:t>2</w:t>
            </w:r>
          </w:p>
        </w:tc>
        <w:tc>
          <w:tcPr>
            <w:tcW w:w="1301" w:type="dxa"/>
            <w:vAlign w:val="center"/>
          </w:tcPr>
          <w:p>
            <w:pPr>
              <w:spacing w:line="360" w:lineRule="auto"/>
              <w:jc w:val="center"/>
              <w:rPr>
                <w:color w:val="000000"/>
              </w:rPr>
            </w:pPr>
            <w:r>
              <w:rPr>
                <w:color w:val="000000"/>
              </w:rPr>
              <w:t>100.1</w:t>
            </w:r>
          </w:p>
        </w:tc>
      </w:tr>
    </w:tbl>
    <w:p>
      <w:pPr>
        <w:spacing w:line="360" w:lineRule="auto"/>
        <w:ind w:left="210" w:leftChars="100"/>
        <w:jc w:val="both"/>
        <w:rPr>
          <w:color w:val="000000"/>
        </w:rPr>
      </w:pPr>
    </w:p>
    <w:p>
      <w:pPr>
        <w:spacing w:line="360" w:lineRule="auto"/>
        <w:ind w:firstLine="422" w:firstLineChars="200"/>
        <w:jc w:val="both"/>
        <w:rPr>
          <w:b/>
          <w:color w:val="000000"/>
          <w:spacing w:val="60"/>
        </w:rPr>
      </w:pPr>
      <w:r>
        <w:rPr>
          <w:rFonts w:hint="eastAsia"/>
          <w:b/>
          <w:color w:val="000000"/>
        </w:rPr>
        <w:t>4．</w:t>
      </w:r>
      <w:r>
        <w:rPr>
          <w:b/>
          <w:color w:val="000000"/>
        </w:rPr>
        <w:t>样品中</w:t>
      </w:r>
      <w:r>
        <w:rPr>
          <w:rFonts w:hint="eastAsia"/>
          <w:b/>
          <w:color w:val="000000"/>
        </w:rPr>
        <w:t>多</w:t>
      </w:r>
      <w:r>
        <w:rPr>
          <w:b/>
          <w:color w:val="000000"/>
        </w:rPr>
        <w:t>糖含量的测定</w:t>
      </w:r>
    </w:p>
    <w:p>
      <w:pPr>
        <w:spacing w:line="360" w:lineRule="auto"/>
        <w:ind w:firstLine="432" w:firstLineChars="200"/>
        <w:jc w:val="both"/>
        <w:rPr>
          <w:rFonts w:hAnsi="Calibri"/>
          <w:color w:val="000000"/>
          <w:szCs w:val="22"/>
        </w:rPr>
      </w:pPr>
      <w:r>
        <w:rPr>
          <w:color w:val="000000"/>
          <w:spacing w:val="3"/>
        </w:rPr>
        <w:t>根据样品中</w:t>
      </w:r>
      <w:r>
        <w:rPr>
          <w:rFonts w:hint="eastAsia"/>
          <w:color w:val="000000"/>
          <w:spacing w:val="3"/>
        </w:rPr>
        <w:t>多</w:t>
      </w:r>
      <w:r>
        <w:rPr>
          <w:color w:val="000000"/>
          <w:spacing w:val="3"/>
        </w:rPr>
        <w:t>糖含量的不同，通常在测定前需要对样品</w:t>
      </w:r>
      <w:r>
        <w:rPr>
          <w:rFonts w:hint="eastAsia"/>
          <w:color w:val="000000"/>
          <w:spacing w:val="3"/>
        </w:rPr>
        <w:t>多糖提取液（2.7）</w:t>
      </w:r>
      <w:r>
        <w:rPr>
          <w:color w:val="000000"/>
          <w:spacing w:val="3"/>
        </w:rPr>
        <w:t>进行适当倍数的稀释，稀释倍数的确定应以使比色皿里测试液的吸光值在工作曲线所覆盖的范围内，并尽可能位于</w:t>
      </w:r>
      <w:r>
        <w:rPr>
          <w:color w:val="000000"/>
        </w:rPr>
        <w:t>标准曲线中部</w:t>
      </w:r>
      <w:r>
        <w:rPr>
          <w:rFonts w:hint="eastAsia"/>
          <w:color w:val="000000"/>
        </w:rPr>
        <w:t>，</w:t>
      </w:r>
      <w:r>
        <w:rPr>
          <w:rFonts w:ascii="宋体" w:hAnsi="宋体" w:cs="宋体"/>
          <w:color w:val="000000"/>
          <w:szCs w:val="22"/>
        </w:rPr>
        <w:t>带标测试液的准确度允许范围为</w:t>
      </w:r>
      <w:r>
        <w:rPr>
          <w:rFonts w:ascii="Calibri" w:hAnsi="Calibri"/>
          <w:color w:val="000000"/>
          <w:szCs w:val="22"/>
        </w:rPr>
        <w:t>90-110%</w:t>
      </w:r>
      <w:r>
        <w:rPr>
          <w:rFonts w:ascii="宋体" w:hAnsi="宋体" w:cs="宋体"/>
          <w:color w:val="000000"/>
          <w:szCs w:val="22"/>
        </w:rPr>
        <w:t>，否则需重新进行测试。</w:t>
      </w:r>
    </w:p>
    <w:p>
      <w:pPr>
        <w:spacing w:line="360" w:lineRule="auto"/>
        <w:ind w:firstLine="420" w:firstLineChars="200"/>
        <w:jc w:val="both"/>
        <w:rPr>
          <w:color w:val="000000"/>
        </w:rPr>
      </w:pPr>
      <w:r>
        <w:rPr>
          <w:color w:val="000000"/>
        </w:rPr>
        <w:t>取</w:t>
      </w:r>
      <w:r>
        <w:rPr>
          <w:rFonts w:hint="eastAsia"/>
          <w:color w:val="000000"/>
        </w:rPr>
        <w:t>样品多糖提取液</w:t>
      </w:r>
      <w:r>
        <w:rPr>
          <w:color w:val="000000"/>
        </w:rPr>
        <w:t>或</w:t>
      </w:r>
      <w:r>
        <w:rPr>
          <w:rFonts w:hint="eastAsia"/>
          <w:color w:val="000000"/>
        </w:rPr>
        <w:t>其</w:t>
      </w:r>
      <w:r>
        <w:rPr>
          <w:color w:val="000000"/>
        </w:rPr>
        <w:t>稀释液2.000mL</w:t>
      </w:r>
      <w:r>
        <w:rPr>
          <w:color w:val="000000"/>
          <w:spacing w:val="2"/>
        </w:rPr>
        <w:t xml:space="preserve"> </w:t>
      </w:r>
      <w:r>
        <w:rPr>
          <w:color w:val="000000"/>
        </w:rPr>
        <w:t>放入试管中，同时于另</w:t>
      </w:r>
      <w:r>
        <w:rPr>
          <w:rFonts w:hint="eastAsia"/>
          <w:color w:val="000000"/>
        </w:rPr>
        <w:t>外</w:t>
      </w:r>
      <w:r>
        <w:rPr>
          <w:color w:val="000000"/>
        </w:rPr>
        <w:t>试管中以2.000mL</w:t>
      </w:r>
      <w:r>
        <w:rPr>
          <w:rFonts w:hint="eastAsia"/>
          <w:color w:val="000000"/>
        </w:rPr>
        <w:t>淀粉多糖稀释液（2.6）</w:t>
      </w:r>
      <w:r>
        <w:rPr>
          <w:rFonts w:hint="eastAsia"/>
          <w:color w:val="000000"/>
          <w:spacing w:val="2"/>
        </w:rPr>
        <w:t>以及</w:t>
      </w:r>
      <w:r>
        <w:rPr>
          <w:color w:val="000000"/>
        </w:rPr>
        <w:t>适宜浓度的葡</w:t>
      </w:r>
      <w:r>
        <w:rPr>
          <w:color w:val="000000"/>
          <w:spacing w:val="-2"/>
        </w:rPr>
        <w:t>萄糖标准溶液</w:t>
      </w:r>
      <w:r>
        <w:rPr>
          <w:color w:val="000000"/>
          <w:spacing w:val="-4"/>
        </w:rPr>
        <w:t>进行带标测试，以</w:t>
      </w:r>
      <w:r>
        <w:rPr>
          <w:color w:val="000000"/>
          <w:spacing w:val="1"/>
        </w:rPr>
        <w:t>2.000mL</w:t>
      </w:r>
      <w:r>
        <w:rPr>
          <w:color w:val="000000"/>
          <w:spacing w:val="-1"/>
        </w:rPr>
        <w:t>去离子水做空白对照，分别加入苯</w:t>
      </w:r>
      <w:r>
        <w:rPr>
          <w:color w:val="000000"/>
        </w:rPr>
        <w:t>酚液1.000mL，其余步骤同3.1，分别测量吸光度。每种样品3个平行。</w:t>
      </w:r>
    </w:p>
    <w:p>
      <w:pPr>
        <w:spacing w:line="360" w:lineRule="auto"/>
        <w:jc w:val="both"/>
        <w:rPr>
          <w:color w:val="000000"/>
        </w:rPr>
      </w:pPr>
      <w:r>
        <w:rPr>
          <w:rFonts w:hint="eastAsia"/>
          <w:color w:val="000000"/>
        </w:rPr>
        <w:t>具体数据如下表：</w:t>
      </w:r>
    </w:p>
    <w:p>
      <w:pPr>
        <w:spacing w:line="360" w:lineRule="auto"/>
        <w:jc w:val="both"/>
        <w:rPr>
          <w:rFonts w:hint="eastAsia"/>
          <w:color w:val="000000"/>
        </w:rPr>
      </w:pPr>
    </w:p>
    <w:p>
      <w:pPr>
        <w:spacing w:line="360" w:lineRule="auto"/>
        <w:ind w:firstLine="420" w:firstLineChars="200"/>
        <w:jc w:val="both"/>
        <w:rPr>
          <w:color w:val="000000"/>
        </w:rPr>
      </w:pPr>
      <w:r>
        <w:rPr>
          <w:rFonts w:hint="eastAsia"/>
          <w:color w:val="000000"/>
        </w:rPr>
        <w:t>4.1铁皮石斛提取液2019091001相关数据</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0"/>
        <w:gridCol w:w="1020"/>
        <w:gridCol w:w="995"/>
        <w:gridCol w:w="995"/>
        <w:gridCol w:w="995"/>
        <w:gridCol w:w="1020"/>
        <w:gridCol w:w="1020"/>
        <w:gridCol w:w="1317"/>
        <w:gridCol w:w="1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pPr>
              <w:spacing w:line="360" w:lineRule="auto"/>
              <w:jc w:val="center"/>
              <w:rPr>
                <w:color w:val="000000"/>
              </w:rPr>
            </w:pPr>
            <w:r>
              <w:rPr>
                <w:rFonts w:hint="eastAsia"/>
                <w:color w:val="000000"/>
                <w:spacing w:val="60"/>
              </w:rPr>
              <w:t>标准品以及样品名称</w:t>
            </w:r>
          </w:p>
        </w:tc>
        <w:tc>
          <w:tcPr>
            <w:tcW w:w="1036" w:type="dxa"/>
            <w:vAlign w:val="center"/>
          </w:tcPr>
          <w:p>
            <w:pPr>
              <w:spacing w:line="360" w:lineRule="auto"/>
              <w:jc w:val="center"/>
              <w:rPr>
                <w:color w:val="000000"/>
              </w:rPr>
            </w:pPr>
            <w:r>
              <w:rPr>
                <w:rFonts w:hint="eastAsia"/>
                <w:color w:val="000000"/>
              </w:rPr>
              <w:t>空白吸光值</w:t>
            </w:r>
          </w:p>
        </w:tc>
        <w:tc>
          <w:tcPr>
            <w:tcW w:w="3030" w:type="dxa"/>
            <w:gridSpan w:val="3"/>
            <w:vAlign w:val="center"/>
          </w:tcPr>
          <w:p>
            <w:pPr>
              <w:spacing w:line="360" w:lineRule="auto"/>
              <w:jc w:val="center"/>
              <w:rPr>
                <w:color w:val="000000"/>
              </w:rPr>
            </w:pPr>
            <w:r>
              <w:rPr>
                <w:rFonts w:hint="eastAsia"/>
                <w:color w:val="000000"/>
              </w:rPr>
              <w:t>扣除空白后样品吸光值</w:t>
            </w:r>
          </w:p>
        </w:tc>
        <w:tc>
          <w:tcPr>
            <w:tcW w:w="1036" w:type="dxa"/>
            <w:vAlign w:val="center"/>
          </w:tcPr>
          <w:p>
            <w:pPr>
              <w:spacing w:line="360" w:lineRule="auto"/>
              <w:jc w:val="center"/>
              <w:rPr>
                <w:color w:val="000000"/>
              </w:rPr>
            </w:pPr>
            <w:r>
              <w:rPr>
                <w:rFonts w:hint="eastAsia"/>
                <w:color w:val="000000"/>
              </w:rPr>
              <w:t>平均吸光值</w:t>
            </w:r>
          </w:p>
        </w:tc>
        <w:tc>
          <w:tcPr>
            <w:tcW w:w="1036" w:type="dxa"/>
            <w:vAlign w:val="center"/>
          </w:tcPr>
          <w:p>
            <w:pPr>
              <w:spacing w:line="360" w:lineRule="auto"/>
              <w:jc w:val="center"/>
              <w:rPr>
                <w:color w:val="000000"/>
              </w:rPr>
            </w:pPr>
            <w:r>
              <w:rPr>
                <w:rFonts w:hint="eastAsia"/>
                <w:color w:val="000000"/>
              </w:rPr>
              <w:t>稀释倍数</w:t>
            </w:r>
          </w:p>
        </w:tc>
        <w:tc>
          <w:tcPr>
            <w:tcW w:w="1323" w:type="dxa"/>
            <w:vAlign w:val="center"/>
          </w:tcPr>
          <w:p>
            <w:pPr>
              <w:spacing w:line="360" w:lineRule="auto"/>
              <w:jc w:val="center"/>
              <w:rPr>
                <w:color w:val="000000"/>
              </w:rPr>
            </w:pPr>
            <w:r>
              <w:rPr>
                <w:rFonts w:hint="eastAsia"/>
                <w:color w:val="000000"/>
              </w:rPr>
              <w:t>计算浓度（mg/ml）</w:t>
            </w:r>
          </w:p>
        </w:tc>
        <w:tc>
          <w:tcPr>
            <w:tcW w:w="1084" w:type="dxa"/>
            <w:vAlign w:val="center"/>
          </w:tcPr>
          <w:p>
            <w:pPr>
              <w:spacing w:line="360" w:lineRule="auto"/>
              <w:jc w:val="center"/>
              <w:rPr>
                <w:color w:val="000000"/>
              </w:rPr>
            </w:pPr>
            <w:r>
              <w:rPr>
                <w:rFonts w:hint="eastAsia"/>
                <w:color w:val="000000"/>
              </w:rPr>
              <w:t>准确度（%）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pPr>
              <w:spacing w:line="360" w:lineRule="auto"/>
              <w:jc w:val="center"/>
              <w:rPr>
                <w:color w:val="000000"/>
              </w:rPr>
            </w:pPr>
            <w:r>
              <w:rPr>
                <w:rFonts w:hint="eastAsia"/>
                <w:color w:val="000000"/>
              </w:rPr>
              <w:t>1.001mg/ml淀粉标准溶液</w:t>
            </w:r>
          </w:p>
        </w:tc>
        <w:tc>
          <w:tcPr>
            <w:tcW w:w="1036" w:type="dxa"/>
            <w:vMerge w:val="restart"/>
            <w:vAlign w:val="center"/>
          </w:tcPr>
          <w:p>
            <w:pPr>
              <w:spacing w:line="360" w:lineRule="auto"/>
              <w:jc w:val="center"/>
              <w:rPr>
                <w:color w:val="000000"/>
              </w:rPr>
            </w:pPr>
            <w:r>
              <w:rPr>
                <w:rFonts w:hint="eastAsia"/>
                <w:color w:val="000000"/>
              </w:rPr>
              <w:t>0.026</w:t>
            </w:r>
          </w:p>
        </w:tc>
        <w:tc>
          <w:tcPr>
            <w:tcW w:w="1010" w:type="dxa"/>
            <w:vAlign w:val="center"/>
          </w:tcPr>
          <w:p>
            <w:pPr>
              <w:spacing w:line="360" w:lineRule="auto"/>
              <w:jc w:val="center"/>
              <w:rPr>
                <w:color w:val="000000"/>
              </w:rPr>
            </w:pPr>
            <w:r>
              <w:rPr>
                <w:rFonts w:hint="eastAsia"/>
                <w:color w:val="000000"/>
              </w:rPr>
              <w:t>0.482</w:t>
            </w:r>
          </w:p>
        </w:tc>
        <w:tc>
          <w:tcPr>
            <w:tcW w:w="1010" w:type="dxa"/>
            <w:vAlign w:val="center"/>
          </w:tcPr>
          <w:p>
            <w:pPr>
              <w:spacing w:line="360" w:lineRule="auto"/>
              <w:jc w:val="center"/>
              <w:rPr>
                <w:color w:val="000000"/>
              </w:rPr>
            </w:pPr>
            <w:r>
              <w:rPr>
                <w:rFonts w:hint="eastAsia"/>
                <w:color w:val="000000"/>
              </w:rPr>
              <w:t>0.497</w:t>
            </w:r>
          </w:p>
        </w:tc>
        <w:tc>
          <w:tcPr>
            <w:tcW w:w="1010" w:type="dxa"/>
            <w:vAlign w:val="center"/>
          </w:tcPr>
          <w:p>
            <w:pPr>
              <w:spacing w:line="360" w:lineRule="auto"/>
              <w:jc w:val="center"/>
              <w:rPr>
                <w:color w:val="000000"/>
              </w:rPr>
            </w:pPr>
            <w:r>
              <w:rPr>
                <w:rFonts w:hint="eastAsia"/>
                <w:color w:val="000000"/>
              </w:rPr>
              <w:t>0.482</w:t>
            </w:r>
          </w:p>
        </w:tc>
        <w:tc>
          <w:tcPr>
            <w:tcW w:w="1036" w:type="dxa"/>
            <w:vAlign w:val="center"/>
          </w:tcPr>
          <w:p>
            <w:pPr>
              <w:spacing w:line="360" w:lineRule="auto"/>
              <w:jc w:val="center"/>
              <w:rPr>
                <w:color w:val="000000"/>
              </w:rPr>
            </w:pPr>
            <w:r>
              <w:rPr>
                <w:rFonts w:hint="eastAsia"/>
                <w:color w:val="000000"/>
              </w:rPr>
              <w:t>0.487</w:t>
            </w:r>
          </w:p>
        </w:tc>
        <w:tc>
          <w:tcPr>
            <w:tcW w:w="1036" w:type="dxa"/>
            <w:vAlign w:val="center"/>
          </w:tcPr>
          <w:p>
            <w:pPr>
              <w:spacing w:line="360" w:lineRule="auto"/>
              <w:jc w:val="center"/>
              <w:rPr>
                <w:color w:val="000000"/>
              </w:rPr>
            </w:pPr>
            <w:r>
              <w:rPr>
                <w:rFonts w:hint="eastAsia"/>
                <w:color w:val="000000"/>
              </w:rPr>
              <w:t>100/3</w:t>
            </w:r>
          </w:p>
        </w:tc>
        <w:tc>
          <w:tcPr>
            <w:tcW w:w="1323" w:type="dxa"/>
            <w:vAlign w:val="center"/>
          </w:tcPr>
          <w:p>
            <w:pPr>
              <w:spacing w:line="360" w:lineRule="auto"/>
              <w:jc w:val="center"/>
              <w:rPr>
                <w:color w:val="000000"/>
              </w:rPr>
            </w:pPr>
            <w:r>
              <w:rPr>
                <w:rFonts w:hint="eastAsia"/>
                <w:color w:val="000000"/>
              </w:rPr>
              <w:t>0.987</w:t>
            </w:r>
          </w:p>
        </w:tc>
        <w:tc>
          <w:tcPr>
            <w:tcW w:w="1084" w:type="dxa"/>
            <w:vAlign w:val="center"/>
          </w:tcPr>
          <w:p>
            <w:pPr>
              <w:spacing w:line="360" w:lineRule="auto"/>
              <w:jc w:val="center"/>
              <w:rPr>
                <w:color w:val="000000"/>
              </w:rPr>
            </w:pPr>
            <w:r>
              <w:rPr>
                <w:rFonts w:hint="eastAsia"/>
                <w:color w:val="000000"/>
              </w:rPr>
              <w:t>98.7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pPr>
              <w:spacing w:line="360" w:lineRule="auto"/>
              <w:jc w:val="center"/>
              <w:rPr>
                <w:color w:val="000000"/>
              </w:rPr>
            </w:pPr>
            <w:r>
              <w:rPr>
                <w:rFonts w:hint="eastAsia"/>
                <w:color w:val="000000"/>
              </w:rPr>
              <w:t>0.550mg/ml葡萄糖标准溶液</w:t>
            </w:r>
          </w:p>
        </w:tc>
        <w:tc>
          <w:tcPr>
            <w:tcW w:w="1036" w:type="dxa"/>
            <w:vMerge w:val="continue"/>
            <w:vAlign w:val="center"/>
          </w:tcPr>
          <w:p>
            <w:pPr>
              <w:spacing w:line="360" w:lineRule="auto"/>
              <w:jc w:val="center"/>
              <w:rPr>
                <w:color w:val="000000"/>
              </w:rPr>
            </w:pPr>
          </w:p>
        </w:tc>
        <w:tc>
          <w:tcPr>
            <w:tcW w:w="1010" w:type="dxa"/>
            <w:vAlign w:val="center"/>
          </w:tcPr>
          <w:p>
            <w:pPr>
              <w:spacing w:line="360" w:lineRule="auto"/>
              <w:jc w:val="center"/>
              <w:rPr>
                <w:color w:val="000000"/>
              </w:rPr>
            </w:pPr>
            <w:r>
              <w:rPr>
                <w:rFonts w:hint="eastAsia"/>
                <w:color w:val="000000"/>
              </w:rPr>
              <w:t>0.545</w:t>
            </w:r>
          </w:p>
        </w:tc>
        <w:tc>
          <w:tcPr>
            <w:tcW w:w="1010" w:type="dxa"/>
            <w:vAlign w:val="center"/>
          </w:tcPr>
          <w:p>
            <w:pPr>
              <w:spacing w:line="360" w:lineRule="auto"/>
              <w:jc w:val="center"/>
              <w:rPr>
                <w:color w:val="000000"/>
              </w:rPr>
            </w:pPr>
            <w:r>
              <w:rPr>
                <w:rFonts w:hint="eastAsia"/>
                <w:color w:val="000000"/>
              </w:rPr>
              <w:t>0.555</w:t>
            </w:r>
          </w:p>
        </w:tc>
        <w:tc>
          <w:tcPr>
            <w:tcW w:w="1010" w:type="dxa"/>
            <w:vAlign w:val="center"/>
          </w:tcPr>
          <w:p>
            <w:pPr>
              <w:spacing w:line="360" w:lineRule="auto"/>
              <w:jc w:val="center"/>
              <w:rPr>
                <w:color w:val="000000"/>
              </w:rPr>
            </w:pPr>
            <w:r>
              <w:rPr>
                <w:rFonts w:hint="eastAsia"/>
                <w:color w:val="000000"/>
              </w:rPr>
              <w:t>0.553</w:t>
            </w:r>
          </w:p>
        </w:tc>
        <w:tc>
          <w:tcPr>
            <w:tcW w:w="1036" w:type="dxa"/>
            <w:vAlign w:val="center"/>
          </w:tcPr>
          <w:p>
            <w:pPr>
              <w:spacing w:line="360" w:lineRule="auto"/>
              <w:jc w:val="center"/>
              <w:rPr>
                <w:color w:val="000000"/>
              </w:rPr>
            </w:pPr>
            <w:r>
              <w:rPr>
                <w:rFonts w:hint="eastAsia"/>
                <w:color w:val="000000"/>
              </w:rPr>
              <w:t>0.551</w:t>
            </w:r>
          </w:p>
        </w:tc>
        <w:tc>
          <w:tcPr>
            <w:tcW w:w="1036" w:type="dxa"/>
            <w:vAlign w:val="center"/>
          </w:tcPr>
          <w:p>
            <w:pPr>
              <w:spacing w:line="360" w:lineRule="auto"/>
              <w:jc w:val="center"/>
              <w:rPr>
                <w:color w:val="000000"/>
              </w:rPr>
            </w:pPr>
            <w:r>
              <w:rPr>
                <w:rFonts w:hint="eastAsia"/>
                <w:color w:val="000000"/>
              </w:rPr>
              <w:t>16</w:t>
            </w:r>
          </w:p>
        </w:tc>
        <w:tc>
          <w:tcPr>
            <w:tcW w:w="1323" w:type="dxa"/>
            <w:vAlign w:val="center"/>
          </w:tcPr>
          <w:p>
            <w:pPr>
              <w:spacing w:line="360" w:lineRule="auto"/>
              <w:jc w:val="center"/>
              <w:rPr>
                <w:color w:val="000000"/>
              </w:rPr>
            </w:pPr>
            <w:r>
              <w:rPr>
                <w:rFonts w:hint="eastAsia"/>
                <w:color w:val="000000"/>
              </w:rPr>
              <w:t>0.539</w:t>
            </w:r>
          </w:p>
        </w:tc>
        <w:tc>
          <w:tcPr>
            <w:tcW w:w="1084" w:type="dxa"/>
            <w:vAlign w:val="center"/>
          </w:tcPr>
          <w:p>
            <w:pPr>
              <w:spacing w:line="360" w:lineRule="auto"/>
              <w:jc w:val="center"/>
              <w:rPr>
                <w:color w:val="000000"/>
              </w:rPr>
            </w:pPr>
            <w:r>
              <w:rPr>
                <w:rFonts w:hint="eastAsia"/>
                <w:color w:val="000000"/>
              </w:rPr>
              <w:t>98.0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pPr>
              <w:spacing w:line="360" w:lineRule="auto"/>
              <w:jc w:val="center"/>
              <w:rPr>
                <w:color w:val="000000"/>
              </w:rPr>
            </w:pPr>
            <w:r>
              <w:rPr>
                <w:rFonts w:hint="eastAsia"/>
                <w:color w:val="000000"/>
              </w:rPr>
              <w:t>铁皮石斛提取液2019091001</w:t>
            </w:r>
          </w:p>
        </w:tc>
        <w:tc>
          <w:tcPr>
            <w:tcW w:w="1036" w:type="dxa"/>
            <w:vMerge w:val="continue"/>
            <w:vAlign w:val="center"/>
          </w:tcPr>
          <w:p>
            <w:pPr>
              <w:spacing w:line="360" w:lineRule="auto"/>
              <w:jc w:val="center"/>
              <w:rPr>
                <w:color w:val="000000"/>
              </w:rPr>
            </w:pPr>
          </w:p>
        </w:tc>
        <w:tc>
          <w:tcPr>
            <w:tcW w:w="1010" w:type="dxa"/>
            <w:vAlign w:val="center"/>
          </w:tcPr>
          <w:p>
            <w:pPr>
              <w:spacing w:line="360" w:lineRule="auto"/>
              <w:jc w:val="center"/>
              <w:rPr>
                <w:color w:val="000000"/>
              </w:rPr>
            </w:pPr>
            <w:r>
              <w:rPr>
                <w:rFonts w:hint="eastAsia"/>
                <w:color w:val="000000"/>
              </w:rPr>
              <w:t>0.548</w:t>
            </w:r>
          </w:p>
        </w:tc>
        <w:tc>
          <w:tcPr>
            <w:tcW w:w="1010" w:type="dxa"/>
            <w:vAlign w:val="center"/>
          </w:tcPr>
          <w:p>
            <w:pPr>
              <w:spacing w:line="360" w:lineRule="auto"/>
              <w:jc w:val="center"/>
              <w:rPr>
                <w:color w:val="000000"/>
              </w:rPr>
            </w:pPr>
            <w:r>
              <w:rPr>
                <w:rFonts w:hint="eastAsia"/>
                <w:color w:val="000000"/>
              </w:rPr>
              <w:t>0.532</w:t>
            </w:r>
          </w:p>
        </w:tc>
        <w:tc>
          <w:tcPr>
            <w:tcW w:w="1010" w:type="dxa"/>
            <w:vAlign w:val="center"/>
          </w:tcPr>
          <w:p>
            <w:pPr>
              <w:spacing w:line="360" w:lineRule="auto"/>
              <w:jc w:val="center"/>
              <w:rPr>
                <w:color w:val="000000"/>
              </w:rPr>
            </w:pPr>
            <w:r>
              <w:rPr>
                <w:rFonts w:hint="eastAsia"/>
                <w:color w:val="000000"/>
              </w:rPr>
              <w:t>0.526</w:t>
            </w:r>
          </w:p>
        </w:tc>
        <w:tc>
          <w:tcPr>
            <w:tcW w:w="1036" w:type="dxa"/>
            <w:vAlign w:val="center"/>
          </w:tcPr>
          <w:p>
            <w:pPr>
              <w:spacing w:line="360" w:lineRule="auto"/>
              <w:jc w:val="center"/>
              <w:rPr>
                <w:color w:val="000000"/>
              </w:rPr>
            </w:pPr>
            <w:r>
              <w:rPr>
                <w:rFonts w:hint="eastAsia"/>
                <w:color w:val="000000"/>
              </w:rPr>
              <w:t>0.535</w:t>
            </w:r>
          </w:p>
        </w:tc>
        <w:tc>
          <w:tcPr>
            <w:tcW w:w="1036" w:type="dxa"/>
            <w:vAlign w:val="center"/>
          </w:tcPr>
          <w:p>
            <w:pPr>
              <w:spacing w:line="360" w:lineRule="auto"/>
              <w:jc w:val="center"/>
              <w:rPr>
                <w:color w:val="000000"/>
              </w:rPr>
            </w:pPr>
            <w:r>
              <w:rPr>
                <w:rFonts w:hint="eastAsia"/>
                <w:color w:val="000000"/>
              </w:rPr>
              <w:t>300/3</w:t>
            </w:r>
          </w:p>
        </w:tc>
        <w:tc>
          <w:tcPr>
            <w:tcW w:w="1323" w:type="dxa"/>
            <w:vAlign w:val="center"/>
          </w:tcPr>
          <w:p>
            <w:pPr>
              <w:spacing w:line="360" w:lineRule="auto"/>
              <w:jc w:val="center"/>
              <w:rPr>
                <w:color w:val="000000"/>
              </w:rPr>
            </w:pPr>
            <w:r>
              <w:rPr>
                <w:rFonts w:hint="eastAsia"/>
                <w:color w:val="000000"/>
              </w:rPr>
              <w:t>3.269</w:t>
            </w:r>
          </w:p>
        </w:tc>
        <w:tc>
          <w:tcPr>
            <w:tcW w:w="1084" w:type="dxa"/>
            <w:vAlign w:val="center"/>
          </w:tcPr>
          <w:p>
            <w:pPr>
              <w:spacing w:line="360" w:lineRule="auto"/>
              <w:jc w:val="center"/>
              <w:rPr>
                <w:color w:val="000000"/>
              </w:rPr>
            </w:pPr>
            <w:r>
              <w:rPr>
                <w:rFonts w:hint="eastAsia"/>
                <w:color w:val="000000"/>
              </w:rPr>
              <w:t>/</w:t>
            </w:r>
          </w:p>
        </w:tc>
      </w:tr>
    </w:tbl>
    <w:p>
      <w:pPr>
        <w:spacing w:line="360" w:lineRule="auto"/>
        <w:ind w:firstLine="420" w:firstLineChars="200"/>
        <w:jc w:val="both"/>
        <w:rPr>
          <w:color w:val="000000"/>
        </w:rPr>
      </w:pPr>
    </w:p>
    <w:p>
      <w:pPr>
        <w:spacing w:line="360" w:lineRule="auto"/>
        <w:ind w:firstLine="420" w:firstLineChars="200"/>
        <w:jc w:val="both"/>
        <w:rPr>
          <w:color w:val="000000"/>
        </w:rPr>
      </w:pPr>
    </w:p>
    <w:p>
      <w:pPr>
        <w:spacing w:line="360" w:lineRule="auto"/>
        <w:ind w:firstLine="420" w:firstLineChars="200"/>
        <w:jc w:val="both"/>
        <w:rPr>
          <w:color w:val="000000"/>
        </w:rPr>
      </w:pPr>
    </w:p>
    <w:p>
      <w:pPr>
        <w:spacing w:line="360" w:lineRule="auto"/>
        <w:ind w:firstLine="420" w:firstLineChars="200"/>
        <w:jc w:val="both"/>
        <w:rPr>
          <w:color w:val="000000"/>
        </w:rPr>
      </w:pPr>
    </w:p>
    <w:p>
      <w:pPr>
        <w:spacing w:line="360" w:lineRule="auto"/>
        <w:ind w:firstLine="420" w:firstLineChars="200"/>
        <w:jc w:val="both"/>
        <w:rPr>
          <w:color w:val="000000"/>
        </w:rPr>
      </w:pPr>
    </w:p>
    <w:p>
      <w:pPr>
        <w:spacing w:line="360" w:lineRule="auto"/>
        <w:ind w:firstLine="420" w:firstLineChars="200"/>
        <w:jc w:val="both"/>
        <w:rPr>
          <w:color w:val="000000"/>
        </w:rPr>
      </w:pPr>
    </w:p>
    <w:p>
      <w:pPr>
        <w:spacing w:line="360" w:lineRule="auto"/>
        <w:ind w:firstLine="420" w:firstLineChars="200"/>
        <w:jc w:val="both"/>
        <w:rPr>
          <w:color w:val="000000"/>
        </w:rPr>
      </w:pPr>
    </w:p>
    <w:p>
      <w:pPr>
        <w:spacing w:line="360" w:lineRule="auto"/>
        <w:ind w:firstLine="420" w:firstLineChars="200"/>
        <w:jc w:val="both"/>
        <w:rPr>
          <w:rFonts w:hint="eastAsia"/>
          <w:color w:val="000000"/>
        </w:rPr>
      </w:pPr>
    </w:p>
    <w:p>
      <w:pPr>
        <w:spacing w:line="360" w:lineRule="auto"/>
        <w:ind w:firstLine="420" w:firstLineChars="200"/>
        <w:jc w:val="both"/>
        <w:rPr>
          <w:color w:val="000000"/>
        </w:rPr>
      </w:pPr>
      <w:r>
        <w:rPr>
          <w:rFonts w:hint="eastAsia"/>
          <w:color w:val="000000"/>
        </w:rPr>
        <w:t>4.2铁皮石斛提取液2019110801相关数据</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0"/>
        <w:gridCol w:w="1020"/>
        <w:gridCol w:w="995"/>
        <w:gridCol w:w="995"/>
        <w:gridCol w:w="995"/>
        <w:gridCol w:w="1020"/>
        <w:gridCol w:w="1020"/>
        <w:gridCol w:w="1317"/>
        <w:gridCol w:w="1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pPr>
              <w:spacing w:line="360" w:lineRule="auto"/>
              <w:jc w:val="center"/>
              <w:rPr>
                <w:color w:val="000000"/>
              </w:rPr>
            </w:pPr>
            <w:r>
              <w:rPr>
                <w:rFonts w:hint="eastAsia"/>
                <w:color w:val="000000"/>
                <w:spacing w:val="60"/>
              </w:rPr>
              <w:t>标准品以及样品名称</w:t>
            </w:r>
          </w:p>
        </w:tc>
        <w:tc>
          <w:tcPr>
            <w:tcW w:w="1036" w:type="dxa"/>
            <w:vAlign w:val="center"/>
          </w:tcPr>
          <w:p>
            <w:pPr>
              <w:spacing w:line="360" w:lineRule="auto"/>
              <w:jc w:val="center"/>
              <w:rPr>
                <w:color w:val="000000"/>
              </w:rPr>
            </w:pPr>
            <w:r>
              <w:rPr>
                <w:rFonts w:hint="eastAsia"/>
                <w:color w:val="000000"/>
              </w:rPr>
              <w:t>空白吸光值</w:t>
            </w:r>
          </w:p>
        </w:tc>
        <w:tc>
          <w:tcPr>
            <w:tcW w:w="3030" w:type="dxa"/>
            <w:gridSpan w:val="3"/>
            <w:vAlign w:val="center"/>
          </w:tcPr>
          <w:p>
            <w:pPr>
              <w:spacing w:line="360" w:lineRule="auto"/>
              <w:jc w:val="center"/>
              <w:rPr>
                <w:color w:val="000000"/>
              </w:rPr>
            </w:pPr>
            <w:r>
              <w:rPr>
                <w:rFonts w:hint="eastAsia"/>
                <w:color w:val="000000"/>
              </w:rPr>
              <w:t>扣除空白后样品吸光值</w:t>
            </w:r>
          </w:p>
        </w:tc>
        <w:tc>
          <w:tcPr>
            <w:tcW w:w="1036" w:type="dxa"/>
            <w:vAlign w:val="center"/>
          </w:tcPr>
          <w:p>
            <w:pPr>
              <w:spacing w:line="360" w:lineRule="auto"/>
              <w:jc w:val="center"/>
              <w:rPr>
                <w:color w:val="000000"/>
              </w:rPr>
            </w:pPr>
            <w:r>
              <w:rPr>
                <w:rFonts w:hint="eastAsia"/>
                <w:color w:val="000000"/>
              </w:rPr>
              <w:t>平均吸光值</w:t>
            </w:r>
          </w:p>
        </w:tc>
        <w:tc>
          <w:tcPr>
            <w:tcW w:w="1036" w:type="dxa"/>
            <w:vAlign w:val="center"/>
          </w:tcPr>
          <w:p>
            <w:pPr>
              <w:spacing w:line="360" w:lineRule="auto"/>
              <w:jc w:val="center"/>
              <w:rPr>
                <w:color w:val="000000"/>
              </w:rPr>
            </w:pPr>
            <w:r>
              <w:rPr>
                <w:rFonts w:hint="eastAsia"/>
                <w:color w:val="000000"/>
              </w:rPr>
              <w:t>稀释倍数</w:t>
            </w:r>
          </w:p>
        </w:tc>
        <w:tc>
          <w:tcPr>
            <w:tcW w:w="1323" w:type="dxa"/>
            <w:vAlign w:val="center"/>
          </w:tcPr>
          <w:p>
            <w:pPr>
              <w:spacing w:line="360" w:lineRule="auto"/>
              <w:jc w:val="center"/>
              <w:rPr>
                <w:color w:val="000000"/>
              </w:rPr>
            </w:pPr>
            <w:r>
              <w:rPr>
                <w:rFonts w:hint="eastAsia"/>
                <w:color w:val="000000"/>
              </w:rPr>
              <w:t>计算浓度（mg/ml）</w:t>
            </w:r>
          </w:p>
        </w:tc>
        <w:tc>
          <w:tcPr>
            <w:tcW w:w="1084" w:type="dxa"/>
            <w:vAlign w:val="center"/>
          </w:tcPr>
          <w:p>
            <w:pPr>
              <w:spacing w:line="360" w:lineRule="auto"/>
              <w:jc w:val="center"/>
              <w:rPr>
                <w:color w:val="000000"/>
              </w:rPr>
            </w:pPr>
            <w:r>
              <w:rPr>
                <w:rFonts w:hint="eastAsia"/>
                <w:color w:val="000000"/>
              </w:rPr>
              <w:t>准确度（%）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pPr>
              <w:spacing w:line="360" w:lineRule="auto"/>
              <w:jc w:val="center"/>
              <w:rPr>
                <w:color w:val="000000"/>
              </w:rPr>
            </w:pPr>
            <w:r>
              <w:rPr>
                <w:rFonts w:hint="eastAsia"/>
                <w:color w:val="000000"/>
              </w:rPr>
              <w:t>1.041mg/ml淀粉标准溶液</w:t>
            </w:r>
          </w:p>
        </w:tc>
        <w:tc>
          <w:tcPr>
            <w:tcW w:w="1036" w:type="dxa"/>
            <w:vMerge w:val="restart"/>
            <w:vAlign w:val="center"/>
          </w:tcPr>
          <w:p>
            <w:pPr>
              <w:spacing w:line="360" w:lineRule="auto"/>
              <w:jc w:val="center"/>
              <w:rPr>
                <w:color w:val="000000"/>
              </w:rPr>
            </w:pPr>
            <w:r>
              <w:rPr>
                <w:rFonts w:hint="eastAsia"/>
                <w:color w:val="000000"/>
              </w:rPr>
              <w:t>0.026</w:t>
            </w:r>
          </w:p>
        </w:tc>
        <w:tc>
          <w:tcPr>
            <w:tcW w:w="1010" w:type="dxa"/>
            <w:vAlign w:val="center"/>
          </w:tcPr>
          <w:p>
            <w:pPr>
              <w:spacing w:line="360" w:lineRule="auto"/>
              <w:jc w:val="center"/>
              <w:rPr>
                <w:color w:val="000000"/>
              </w:rPr>
            </w:pPr>
            <w:r>
              <w:rPr>
                <w:rFonts w:hint="eastAsia"/>
                <w:color w:val="000000"/>
              </w:rPr>
              <w:t>0.514</w:t>
            </w:r>
          </w:p>
        </w:tc>
        <w:tc>
          <w:tcPr>
            <w:tcW w:w="1010" w:type="dxa"/>
            <w:vAlign w:val="center"/>
          </w:tcPr>
          <w:p>
            <w:pPr>
              <w:spacing w:line="360" w:lineRule="auto"/>
              <w:jc w:val="center"/>
              <w:rPr>
                <w:color w:val="000000"/>
              </w:rPr>
            </w:pPr>
            <w:r>
              <w:rPr>
                <w:rFonts w:hint="eastAsia"/>
                <w:color w:val="000000"/>
              </w:rPr>
              <w:t>0.520</w:t>
            </w:r>
          </w:p>
        </w:tc>
        <w:tc>
          <w:tcPr>
            <w:tcW w:w="1010" w:type="dxa"/>
            <w:vAlign w:val="center"/>
          </w:tcPr>
          <w:p>
            <w:pPr>
              <w:spacing w:line="360" w:lineRule="auto"/>
              <w:jc w:val="center"/>
              <w:rPr>
                <w:color w:val="000000"/>
              </w:rPr>
            </w:pPr>
            <w:r>
              <w:rPr>
                <w:rFonts w:hint="eastAsia"/>
                <w:color w:val="000000"/>
              </w:rPr>
              <w:t>0.521</w:t>
            </w:r>
          </w:p>
        </w:tc>
        <w:tc>
          <w:tcPr>
            <w:tcW w:w="1036" w:type="dxa"/>
            <w:vAlign w:val="center"/>
          </w:tcPr>
          <w:p>
            <w:pPr>
              <w:spacing w:line="360" w:lineRule="auto"/>
              <w:jc w:val="center"/>
              <w:rPr>
                <w:color w:val="000000"/>
              </w:rPr>
            </w:pPr>
            <w:r>
              <w:rPr>
                <w:rFonts w:hint="eastAsia"/>
                <w:color w:val="000000"/>
              </w:rPr>
              <w:t>0.518</w:t>
            </w:r>
          </w:p>
        </w:tc>
        <w:tc>
          <w:tcPr>
            <w:tcW w:w="1036" w:type="dxa"/>
            <w:vAlign w:val="center"/>
          </w:tcPr>
          <w:p>
            <w:pPr>
              <w:spacing w:line="360" w:lineRule="auto"/>
              <w:jc w:val="center"/>
              <w:rPr>
                <w:color w:val="000000"/>
              </w:rPr>
            </w:pPr>
            <w:r>
              <w:rPr>
                <w:rFonts w:hint="eastAsia"/>
                <w:color w:val="000000"/>
              </w:rPr>
              <w:t>100/3</w:t>
            </w:r>
          </w:p>
        </w:tc>
        <w:tc>
          <w:tcPr>
            <w:tcW w:w="1323" w:type="dxa"/>
            <w:vAlign w:val="center"/>
          </w:tcPr>
          <w:p>
            <w:pPr>
              <w:spacing w:line="360" w:lineRule="auto"/>
              <w:jc w:val="center"/>
              <w:rPr>
                <w:color w:val="000000"/>
              </w:rPr>
            </w:pPr>
            <w:r>
              <w:rPr>
                <w:rFonts w:hint="eastAsia"/>
                <w:color w:val="000000"/>
              </w:rPr>
              <w:t>1.054</w:t>
            </w:r>
          </w:p>
        </w:tc>
        <w:tc>
          <w:tcPr>
            <w:tcW w:w="1084" w:type="dxa"/>
            <w:vAlign w:val="center"/>
          </w:tcPr>
          <w:p>
            <w:pPr>
              <w:spacing w:line="360" w:lineRule="auto"/>
              <w:jc w:val="center"/>
              <w:rPr>
                <w:color w:val="000000"/>
              </w:rPr>
            </w:pPr>
            <w:r>
              <w:rPr>
                <w:rFonts w:hint="eastAsia"/>
                <w:color w:val="000000"/>
              </w:rPr>
              <w:t>101.2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pPr>
              <w:spacing w:line="360" w:lineRule="auto"/>
              <w:jc w:val="center"/>
              <w:rPr>
                <w:color w:val="000000"/>
              </w:rPr>
            </w:pPr>
            <w:r>
              <w:rPr>
                <w:rFonts w:hint="eastAsia"/>
                <w:color w:val="000000"/>
              </w:rPr>
              <w:t>0.515mg/ml葡萄糖标准溶液</w:t>
            </w:r>
          </w:p>
        </w:tc>
        <w:tc>
          <w:tcPr>
            <w:tcW w:w="1036" w:type="dxa"/>
            <w:vMerge w:val="continue"/>
            <w:vAlign w:val="center"/>
          </w:tcPr>
          <w:p>
            <w:pPr>
              <w:spacing w:line="360" w:lineRule="auto"/>
              <w:jc w:val="center"/>
              <w:rPr>
                <w:color w:val="000000"/>
              </w:rPr>
            </w:pPr>
          </w:p>
        </w:tc>
        <w:tc>
          <w:tcPr>
            <w:tcW w:w="1010" w:type="dxa"/>
            <w:vAlign w:val="center"/>
          </w:tcPr>
          <w:p>
            <w:pPr>
              <w:spacing w:line="360" w:lineRule="auto"/>
              <w:jc w:val="center"/>
              <w:rPr>
                <w:color w:val="000000"/>
              </w:rPr>
            </w:pPr>
            <w:r>
              <w:rPr>
                <w:rFonts w:hint="eastAsia"/>
                <w:color w:val="000000"/>
              </w:rPr>
              <w:t>0.513</w:t>
            </w:r>
          </w:p>
        </w:tc>
        <w:tc>
          <w:tcPr>
            <w:tcW w:w="1010" w:type="dxa"/>
            <w:vAlign w:val="center"/>
          </w:tcPr>
          <w:p>
            <w:pPr>
              <w:spacing w:line="360" w:lineRule="auto"/>
              <w:jc w:val="center"/>
              <w:rPr>
                <w:color w:val="000000"/>
              </w:rPr>
            </w:pPr>
            <w:r>
              <w:rPr>
                <w:rFonts w:hint="eastAsia"/>
                <w:color w:val="000000"/>
              </w:rPr>
              <w:t>0.528</w:t>
            </w:r>
          </w:p>
        </w:tc>
        <w:tc>
          <w:tcPr>
            <w:tcW w:w="1010" w:type="dxa"/>
            <w:vAlign w:val="center"/>
          </w:tcPr>
          <w:p>
            <w:pPr>
              <w:spacing w:line="360" w:lineRule="auto"/>
              <w:jc w:val="center"/>
              <w:rPr>
                <w:color w:val="000000"/>
              </w:rPr>
            </w:pPr>
            <w:r>
              <w:rPr>
                <w:rFonts w:hint="eastAsia"/>
                <w:color w:val="000000"/>
              </w:rPr>
              <w:t>0.533</w:t>
            </w:r>
          </w:p>
        </w:tc>
        <w:tc>
          <w:tcPr>
            <w:tcW w:w="1036" w:type="dxa"/>
            <w:vAlign w:val="center"/>
          </w:tcPr>
          <w:p>
            <w:pPr>
              <w:spacing w:line="360" w:lineRule="auto"/>
              <w:jc w:val="center"/>
              <w:rPr>
                <w:color w:val="000000"/>
              </w:rPr>
            </w:pPr>
            <w:r>
              <w:rPr>
                <w:rFonts w:hint="eastAsia"/>
                <w:color w:val="000000"/>
              </w:rPr>
              <w:t>0.525</w:t>
            </w:r>
          </w:p>
        </w:tc>
        <w:tc>
          <w:tcPr>
            <w:tcW w:w="1036" w:type="dxa"/>
            <w:vAlign w:val="center"/>
          </w:tcPr>
          <w:p>
            <w:pPr>
              <w:spacing w:line="360" w:lineRule="auto"/>
              <w:jc w:val="center"/>
              <w:rPr>
                <w:color w:val="000000"/>
              </w:rPr>
            </w:pPr>
            <w:r>
              <w:rPr>
                <w:rFonts w:hint="eastAsia"/>
                <w:color w:val="000000"/>
              </w:rPr>
              <w:t>16</w:t>
            </w:r>
          </w:p>
        </w:tc>
        <w:tc>
          <w:tcPr>
            <w:tcW w:w="1323" w:type="dxa"/>
            <w:vAlign w:val="center"/>
          </w:tcPr>
          <w:p>
            <w:pPr>
              <w:spacing w:line="360" w:lineRule="auto"/>
              <w:jc w:val="center"/>
              <w:rPr>
                <w:color w:val="000000"/>
              </w:rPr>
            </w:pPr>
            <w:r>
              <w:rPr>
                <w:rFonts w:hint="eastAsia"/>
                <w:color w:val="000000"/>
              </w:rPr>
              <w:t>0.512</w:t>
            </w:r>
          </w:p>
        </w:tc>
        <w:tc>
          <w:tcPr>
            <w:tcW w:w="1084" w:type="dxa"/>
            <w:vAlign w:val="center"/>
          </w:tcPr>
          <w:p>
            <w:pPr>
              <w:spacing w:line="360" w:lineRule="auto"/>
              <w:jc w:val="center"/>
              <w:rPr>
                <w:color w:val="000000"/>
              </w:rPr>
            </w:pPr>
            <w:r>
              <w:rPr>
                <w:rFonts w:hint="eastAsia"/>
                <w:color w:val="000000"/>
              </w:rPr>
              <w:t>99.5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pPr>
              <w:spacing w:line="360" w:lineRule="auto"/>
              <w:jc w:val="center"/>
              <w:rPr>
                <w:color w:val="000000"/>
              </w:rPr>
            </w:pPr>
            <w:r>
              <w:rPr>
                <w:rFonts w:hint="eastAsia"/>
                <w:color w:val="000000"/>
              </w:rPr>
              <w:t>铁皮石斛提取液2019110801</w:t>
            </w:r>
          </w:p>
        </w:tc>
        <w:tc>
          <w:tcPr>
            <w:tcW w:w="1036" w:type="dxa"/>
            <w:vMerge w:val="continue"/>
            <w:vAlign w:val="center"/>
          </w:tcPr>
          <w:p>
            <w:pPr>
              <w:spacing w:line="360" w:lineRule="auto"/>
              <w:jc w:val="center"/>
              <w:rPr>
                <w:color w:val="000000"/>
              </w:rPr>
            </w:pPr>
          </w:p>
        </w:tc>
        <w:tc>
          <w:tcPr>
            <w:tcW w:w="1010" w:type="dxa"/>
            <w:vAlign w:val="center"/>
          </w:tcPr>
          <w:p>
            <w:pPr>
              <w:spacing w:line="360" w:lineRule="auto"/>
              <w:jc w:val="center"/>
              <w:rPr>
                <w:color w:val="000000"/>
              </w:rPr>
            </w:pPr>
            <w:r>
              <w:rPr>
                <w:rFonts w:hint="eastAsia"/>
                <w:color w:val="000000"/>
              </w:rPr>
              <w:t>0.501</w:t>
            </w:r>
          </w:p>
        </w:tc>
        <w:tc>
          <w:tcPr>
            <w:tcW w:w="1010" w:type="dxa"/>
            <w:vAlign w:val="center"/>
          </w:tcPr>
          <w:p>
            <w:pPr>
              <w:spacing w:line="360" w:lineRule="auto"/>
              <w:jc w:val="center"/>
              <w:rPr>
                <w:color w:val="000000"/>
              </w:rPr>
            </w:pPr>
            <w:r>
              <w:rPr>
                <w:rFonts w:hint="eastAsia"/>
                <w:color w:val="000000"/>
              </w:rPr>
              <w:t>0.495</w:t>
            </w:r>
          </w:p>
        </w:tc>
        <w:tc>
          <w:tcPr>
            <w:tcW w:w="1010" w:type="dxa"/>
            <w:vAlign w:val="center"/>
          </w:tcPr>
          <w:p>
            <w:pPr>
              <w:spacing w:line="360" w:lineRule="auto"/>
              <w:jc w:val="center"/>
              <w:rPr>
                <w:color w:val="000000"/>
              </w:rPr>
            </w:pPr>
            <w:r>
              <w:rPr>
                <w:rFonts w:hint="eastAsia"/>
                <w:color w:val="000000"/>
              </w:rPr>
              <w:t>0.512</w:t>
            </w:r>
          </w:p>
        </w:tc>
        <w:tc>
          <w:tcPr>
            <w:tcW w:w="1036" w:type="dxa"/>
            <w:vAlign w:val="center"/>
          </w:tcPr>
          <w:p>
            <w:pPr>
              <w:spacing w:line="360" w:lineRule="auto"/>
              <w:jc w:val="center"/>
              <w:rPr>
                <w:color w:val="000000"/>
              </w:rPr>
            </w:pPr>
            <w:r>
              <w:rPr>
                <w:rFonts w:hint="eastAsia"/>
                <w:color w:val="000000"/>
              </w:rPr>
              <w:t>0.503</w:t>
            </w:r>
          </w:p>
        </w:tc>
        <w:tc>
          <w:tcPr>
            <w:tcW w:w="1036" w:type="dxa"/>
            <w:vAlign w:val="center"/>
          </w:tcPr>
          <w:p>
            <w:pPr>
              <w:spacing w:line="360" w:lineRule="auto"/>
              <w:jc w:val="center"/>
              <w:rPr>
                <w:color w:val="000000"/>
              </w:rPr>
            </w:pPr>
            <w:r>
              <w:rPr>
                <w:rFonts w:hint="eastAsia"/>
                <w:color w:val="000000"/>
              </w:rPr>
              <w:t>300/3</w:t>
            </w:r>
          </w:p>
        </w:tc>
        <w:tc>
          <w:tcPr>
            <w:tcW w:w="1323" w:type="dxa"/>
            <w:vAlign w:val="center"/>
          </w:tcPr>
          <w:p>
            <w:pPr>
              <w:spacing w:line="360" w:lineRule="auto"/>
              <w:jc w:val="center"/>
              <w:rPr>
                <w:color w:val="000000"/>
              </w:rPr>
            </w:pPr>
            <w:r>
              <w:rPr>
                <w:rFonts w:hint="eastAsia"/>
                <w:color w:val="000000"/>
              </w:rPr>
              <w:t>3.062</w:t>
            </w:r>
          </w:p>
        </w:tc>
        <w:tc>
          <w:tcPr>
            <w:tcW w:w="1084" w:type="dxa"/>
            <w:vAlign w:val="center"/>
          </w:tcPr>
          <w:p>
            <w:pPr>
              <w:spacing w:line="360" w:lineRule="auto"/>
              <w:jc w:val="center"/>
              <w:rPr>
                <w:color w:val="000000"/>
              </w:rPr>
            </w:pPr>
            <w:r>
              <w:rPr>
                <w:rFonts w:hint="eastAsia"/>
                <w:color w:val="000000"/>
              </w:rPr>
              <w:t>/</w:t>
            </w:r>
          </w:p>
        </w:tc>
      </w:tr>
    </w:tbl>
    <w:p>
      <w:pPr>
        <w:spacing w:line="360" w:lineRule="auto"/>
        <w:ind w:firstLine="420" w:firstLineChars="200"/>
        <w:jc w:val="both"/>
        <w:rPr>
          <w:color w:val="000000"/>
        </w:rPr>
      </w:pPr>
      <w:r>
        <w:rPr>
          <w:rFonts w:hint="eastAsia"/>
          <w:color w:val="000000"/>
        </w:rPr>
        <w:t>4.3铁皮石斛提取液2020011402相关数据</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0"/>
        <w:gridCol w:w="1020"/>
        <w:gridCol w:w="995"/>
        <w:gridCol w:w="995"/>
        <w:gridCol w:w="995"/>
        <w:gridCol w:w="1020"/>
        <w:gridCol w:w="1020"/>
        <w:gridCol w:w="1317"/>
        <w:gridCol w:w="1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pPr>
              <w:spacing w:line="360" w:lineRule="auto"/>
              <w:jc w:val="center"/>
              <w:rPr>
                <w:color w:val="000000"/>
              </w:rPr>
            </w:pPr>
            <w:r>
              <w:rPr>
                <w:rFonts w:hint="eastAsia"/>
                <w:color w:val="000000"/>
                <w:spacing w:val="60"/>
              </w:rPr>
              <w:t>标准品以及样品名称</w:t>
            </w:r>
          </w:p>
        </w:tc>
        <w:tc>
          <w:tcPr>
            <w:tcW w:w="1036" w:type="dxa"/>
            <w:vAlign w:val="center"/>
          </w:tcPr>
          <w:p>
            <w:pPr>
              <w:spacing w:line="360" w:lineRule="auto"/>
              <w:jc w:val="center"/>
              <w:rPr>
                <w:color w:val="000000"/>
              </w:rPr>
            </w:pPr>
            <w:r>
              <w:rPr>
                <w:rFonts w:hint="eastAsia"/>
                <w:color w:val="000000"/>
              </w:rPr>
              <w:t>空白吸光值</w:t>
            </w:r>
          </w:p>
        </w:tc>
        <w:tc>
          <w:tcPr>
            <w:tcW w:w="3030" w:type="dxa"/>
            <w:gridSpan w:val="3"/>
            <w:vAlign w:val="center"/>
          </w:tcPr>
          <w:p>
            <w:pPr>
              <w:spacing w:line="360" w:lineRule="auto"/>
              <w:jc w:val="center"/>
              <w:rPr>
                <w:color w:val="000000"/>
              </w:rPr>
            </w:pPr>
            <w:r>
              <w:rPr>
                <w:rFonts w:hint="eastAsia"/>
                <w:color w:val="000000"/>
              </w:rPr>
              <w:t>扣除空白后样品吸光值</w:t>
            </w:r>
          </w:p>
        </w:tc>
        <w:tc>
          <w:tcPr>
            <w:tcW w:w="1036" w:type="dxa"/>
            <w:vAlign w:val="center"/>
          </w:tcPr>
          <w:p>
            <w:pPr>
              <w:spacing w:line="360" w:lineRule="auto"/>
              <w:jc w:val="center"/>
              <w:rPr>
                <w:color w:val="000000"/>
              </w:rPr>
            </w:pPr>
            <w:r>
              <w:rPr>
                <w:rFonts w:hint="eastAsia"/>
                <w:color w:val="000000"/>
              </w:rPr>
              <w:t>平均吸光值</w:t>
            </w:r>
          </w:p>
        </w:tc>
        <w:tc>
          <w:tcPr>
            <w:tcW w:w="1036" w:type="dxa"/>
            <w:vAlign w:val="center"/>
          </w:tcPr>
          <w:p>
            <w:pPr>
              <w:spacing w:line="360" w:lineRule="auto"/>
              <w:jc w:val="center"/>
              <w:rPr>
                <w:color w:val="000000"/>
              </w:rPr>
            </w:pPr>
            <w:r>
              <w:rPr>
                <w:rFonts w:hint="eastAsia"/>
                <w:color w:val="000000"/>
              </w:rPr>
              <w:t>稀释倍数</w:t>
            </w:r>
          </w:p>
        </w:tc>
        <w:tc>
          <w:tcPr>
            <w:tcW w:w="1323" w:type="dxa"/>
            <w:vAlign w:val="center"/>
          </w:tcPr>
          <w:p>
            <w:pPr>
              <w:spacing w:line="360" w:lineRule="auto"/>
              <w:jc w:val="center"/>
              <w:rPr>
                <w:color w:val="000000"/>
              </w:rPr>
            </w:pPr>
            <w:r>
              <w:rPr>
                <w:rFonts w:hint="eastAsia"/>
                <w:color w:val="000000"/>
              </w:rPr>
              <w:t>计算浓度（mg/ml）</w:t>
            </w:r>
          </w:p>
        </w:tc>
        <w:tc>
          <w:tcPr>
            <w:tcW w:w="1084" w:type="dxa"/>
            <w:vAlign w:val="center"/>
          </w:tcPr>
          <w:p>
            <w:pPr>
              <w:spacing w:line="360" w:lineRule="auto"/>
              <w:jc w:val="center"/>
              <w:rPr>
                <w:color w:val="000000"/>
              </w:rPr>
            </w:pPr>
            <w:r>
              <w:rPr>
                <w:rFonts w:hint="eastAsia"/>
                <w:color w:val="000000"/>
              </w:rPr>
              <w:t>准确度（%）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pPr>
              <w:spacing w:line="360" w:lineRule="auto"/>
              <w:jc w:val="center"/>
              <w:rPr>
                <w:color w:val="000000"/>
              </w:rPr>
            </w:pPr>
            <w:r>
              <w:rPr>
                <w:rFonts w:hint="eastAsia"/>
                <w:color w:val="000000"/>
              </w:rPr>
              <w:t>1.010mg/ml淀粉标准溶液</w:t>
            </w:r>
          </w:p>
        </w:tc>
        <w:tc>
          <w:tcPr>
            <w:tcW w:w="1036" w:type="dxa"/>
            <w:vMerge w:val="restart"/>
            <w:vAlign w:val="center"/>
          </w:tcPr>
          <w:p>
            <w:pPr>
              <w:spacing w:line="360" w:lineRule="auto"/>
              <w:jc w:val="center"/>
              <w:rPr>
                <w:color w:val="000000"/>
              </w:rPr>
            </w:pPr>
            <w:r>
              <w:rPr>
                <w:rFonts w:hint="eastAsia"/>
                <w:color w:val="000000"/>
              </w:rPr>
              <w:t>0.023</w:t>
            </w:r>
          </w:p>
        </w:tc>
        <w:tc>
          <w:tcPr>
            <w:tcW w:w="1010" w:type="dxa"/>
            <w:vAlign w:val="center"/>
          </w:tcPr>
          <w:p>
            <w:pPr>
              <w:spacing w:line="360" w:lineRule="auto"/>
              <w:jc w:val="center"/>
              <w:rPr>
                <w:color w:val="000000"/>
              </w:rPr>
            </w:pPr>
            <w:r>
              <w:rPr>
                <w:rFonts w:hint="eastAsia"/>
                <w:color w:val="000000"/>
              </w:rPr>
              <w:t>0.499</w:t>
            </w:r>
          </w:p>
        </w:tc>
        <w:tc>
          <w:tcPr>
            <w:tcW w:w="1010" w:type="dxa"/>
            <w:vAlign w:val="center"/>
          </w:tcPr>
          <w:p>
            <w:pPr>
              <w:spacing w:line="360" w:lineRule="auto"/>
              <w:jc w:val="center"/>
              <w:rPr>
                <w:color w:val="000000"/>
              </w:rPr>
            </w:pPr>
            <w:r>
              <w:rPr>
                <w:rFonts w:hint="eastAsia"/>
                <w:color w:val="000000"/>
              </w:rPr>
              <w:t>0.494</w:t>
            </w:r>
          </w:p>
        </w:tc>
        <w:tc>
          <w:tcPr>
            <w:tcW w:w="1010" w:type="dxa"/>
            <w:vAlign w:val="center"/>
          </w:tcPr>
          <w:p>
            <w:pPr>
              <w:spacing w:line="360" w:lineRule="auto"/>
              <w:jc w:val="center"/>
              <w:rPr>
                <w:color w:val="000000"/>
              </w:rPr>
            </w:pPr>
            <w:r>
              <w:rPr>
                <w:rFonts w:hint="eastAsia"/>
                <w:color w:val="000000"/>
              </w:rPr>
              <w:t>0.496</w:t>
            </w:r>
          </w:p>
        </w:tc>
        <w:tc>
          <w:tcPr>
            <w:tcW w:w="1036" w:type="dxa"/>
            <w:vAlign w:val="center"/>
          </w:tcPr>
          <w:p>
            <w:pPr>
              <w:spacing w:line="360" w:lineRule="auto"/>
              <w:jc w:val="center"/>
              <w:rPr>
                <w:color w:val="000000"/>
              </w:rPr>
            </w:pPr>
            <w:r>
              <w:rPr>
                <w:rFonts w:hint="eastAsia"/>
                <w:color w:val="000000"/>
              </w:rPr>
              <w:t>0.496</w:t>
            </w:r>
          </w:p>
        </w:tc>
        <w:tc>
          <w:tcPr>
            <w:tcW w:w="1036" w:type="dxa"/>
            <w:vAlign w:val="center"/>
          </w:tcPr>
          <w:p>
            <w:pPr>
              <w:spacing w:line="360" w:lineRule="auto"/>
              <w:jc w:val="center"/>
              <w:rPr>
                <w:color w:val="000000"/>
              </w:rPr>
            </w:pPr>
            <w:r>
              <w:rPr>
                <w:rFonts w:hint="eastAsia"/>
                <w:color w:val="000000"/>
              </w:rPr>
              <w:t>100/3</w:t>
            </w:r>
          </w:p>
        </w:tc>
        <w:tc>
          <w:tcPr>
            <w:tcW w:w="1323" w:type="dxa"/>
            <w:vAlign w:val="center"/>
          </w:tcPr>
          <w:p>
            <w:pPr>
              <w:spacing w:line="360" w:lineRule="auto"/>
              <w:jc w:val="center"/>
              <w:rPr>
                <w:color w:val="000000"/>
              </w:rPr>
            </w:pPr>
            <w:r>
              <w:rPr>
                <w:rFonts w:hint="eastAsia"/>
                <w:color w:val="000000"/>
              </w:rPr>
              <w:t>1.007</w:t>
            </w:r>
          </w:p>
        </w:tc>
        <w:tc>
          <w:tcPr>
            <w:tcW w:w="1084" w:type="dxa"/>
            <w:vAlign w:val="center"/>
          </w:tcPr>
          <w:p>
            <w:pPr>
              <w:spacing w:line="360" w:lineRule="auto"/>
              <w:jc w:val="center"/>
              <w:rPr>
                <w:color w:val="000000"/>
              </w:rPr>
            </w:pPr>
            <w:r>
              <w:rPr>
                <w:rFonts w:hint="eastAsia"/>
                <w:color w:val="000000"/>
              </w:rPr>
              <w:t>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pPr>
              <w:spacing w:line="360" w:lineRule="auto"/>
              <w:jc w:val="center"/>
              <w:rPr>
                <w:color w:val="000000"/>
              </w:rPr>
            </w:pPr>
            <w:r>
              <w:rPr>
                <w:rFonts w:hint="eastAsia"/>
                <w:color w:val="000000"/>
              </w:rPr>
              <w:t>0.540mg/ml葡萄糖标准溶液</w:t>
            </w:r>
          </w:p>
        </w:tc>
        <w:tc>
          <w:tcPr>
            <w:tcW w:w="1036" w:type="dxa"/>
            <w:vMerge w:val="continue"/>
            <w:vAlign w:val="center"/>
          </w:tcPr>
          <w:p>
            <w:pPr>
              <w:spacing w:line="360" w:lineRule="auto"/>
              <w:jc w:val="center"/>
              <w:rPr>
                <w:color w:val="000000"/>
              </w:rPr>
            </w:pPr>
          </w:p>
        </w:tc>
        <w:tc>
          <w:tcPr>
            <w:tcW w:w="1010" w:type="dxa"/>
            <w:vAlign w:val="center"/>
          </w:tcPr>
          <w:p>
            <w:pPr>
              <w:spacing w:line="360" w:lineRule="auto"/>
              <w:jc w:val="center"/>
              <w:rPr>
                <w:color w:val="000000"/>
              </w:rPr>
            </w:pPr>
            <w:r>
              <w:rPr>
                <w:rFonts w:hint="eastAsia"/>
                <w:color w:val="000000"/>
              </w:rPr>
              <w:t>0.560</w:t>
            </w:r>
          </w:p>
        </w:tc>
        <w:tc>
          <w:tcPr>
            <w:tcW w:w="1010" w:type="dxa"/>
            <w:vAlign w:val="center"/>
          </w:tcPr>
          <w:p>
            <w:pPr>
              <w:spacing w:line="360" w:lineRule="auto"/>
              <w:jc w:val="center"/>
              <w:rPr>
                <w:color w:val="000000"/>
              </w:rPr>
            </w:pPr>
            <w:r>
              <w:rPr>
                <w:rFonts w:hint="eastAsia"/>
                <w:color w:val="000000"/>
              </w:rPr>
              <w:t>0.556</w:t>
            </w:r>
          </w:p>
        </w:tc>
        <w:tc>
          <w:tcPr>
            <w:tcW w:w="1010" w:type="dxa"/>
            <w:vAlign w:val="center"/>
          </w:tcPr>
          <w:p>
            <w:pPr>
              <w:spacing w:line="360" w:lineRule="auto"/>
              <w:jc w:val="center"/>
              <w:rPr>
                <w:color w:val="000000"/>
              </w:rPr>
            </w:pPr>
            <w:r>
              <w:rPr>
                <w:rFonts w:hint="eastAsia"/>
                <w:color w:val="000000"/>
              </w:rPr>
              <w:t>0.563</w:t>
            </w:r>
          </w:p>
        </w:tc>
        <w:tc>
          <w:tcPr>
            <w:tcW w:w="1036" w:type="dxa"/>
            <w:vAlign w:val="center"/>
          </w:tcPr>
          <w:p>
            <w:pPr>
              <w:spacing w:line="360" w:lineRule="auto"/>
              <w:jc w:val="center"/>
              <w:rPr>
                <w:color w:val="000000"/>
              </w:rPr>
            </w:pPr>
            <w:r>
              <w:rPr>
                <w:rFonts w:hint="eastAsia"/>
                <w:color w:val="000000"/>
              </w:rPr>
              <w:t>0.560</w:t>
            </w:r>
          </w:p>
        </w:tc>
        <w:tc>
          <w:tcPr>
            <w:tcW w:w="1036" w:type="dxa"/>
            <w:vAlign w:val="center"/>
          </w:tcPr>
          <w:p>
            <w:pPr>
              <w:spacing w:line="360" w:lineRule="auto"/>
              <w:jc w:val="center"/>
              <w:rPr>
                <w:color w:val="000000"/>
              </w:rPr>
            </w:pPr>
            <w:r>
              <w:rPr>
                <w:rFonts w:hint="eastAsia"/>
                <w:color w:val="000000"/>
              </w:rPr>
              <w:t>16</w:t>
            </w:r>
          </w:p>
        </w:tc>
        <w:tc>
          <w:tcPr>
            <w:tcW w:w="1323" w:type="dxa"/>
            <w:vAlign w:val="center"/>
          </w:tcPr>
          <w:p>
            <w:pPr>
              <w:spacing w:line="360" w:lineRule="auto"/>
              <w:jc w:val="center"/>
              <w:rPr>
                <w:color w:val="000000"/>
              </w:rPr>
            </w:pPr>
            <w:r>
              <w:rPr>
                <w:rFonts w:hint="eastAsia"/>
                <w:color w:val="000000"/>
              </w:rPr>
              <w:t>0.548</w:t>
            </w:r>
          </w:p>
        </w:tc>
        <w:tc>
          <w:tcPr>
            <w:tcW w:w="1084" w:type="dxa"/>
            <w:vAlign w:val="center"/>
          </w:tcPr>
          <w:p>
            <w:pPr>
              <w:spacing w:line="360" w:lineRule="auto"/>
              <w:jc w:val="center"/>
              <w:rPr>
                <w:color w:val="000000"/>
              </w:rPr>
            </w:pPr>
            <w:r>
              <w:rPr>
                <w:rFonts w:hint="eastAsia"/>
                <w:color w:val="000000"/>
              </w:rPr>
              <w:t>101.4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pPr>
              <w:spacing w:line="360" w:lineRule="auto"/>
              <w:jc w:val="center"/>
              <w:rPr>
                <w:color w:val="000000"/>
              </w:rPr>
            </w:pPr>
            <w:r>
              <w:rPr>
                <w:rFonts w:hint="eastAsia"/>
                <w:color w:val="000000"/>
              </w:rPr>
              <w:t>铁皮石斛提取液2020011402</w:t>
            </w:r>
          </w:p>
        </w:tc>
        <w:tc>
          <w:tcPr>
            <w:tcW w:w="1036" w:type="dxa"/>
            <w:vMerge w:val="continue"/>
            <w:vAlign w:val="center"/>
          </w:tcPr>
          <w:p>
            <w:pPr>
              <w:spacing w:line="360" w:lineRule="auto"/>
              <w:jc w:val="center"/>
              <w:rPr>
                <w:color w:val="000000"/>
              </w:rPr>
            </w:pPr>
          </w:p>
        </w:tc>
        <w:tc>
          <w:tcPr>
            <w:tcW w:w="1010" w:type="dxa"/>
            <w:vAlign w:val="center"/>
          </w:tcPr>
          <w:p>
            <w:pPr>
              <w:spacing w:line="360" w:lineRule="auto"/>
              <w:jc w:val="center"/>
              <w:rPr>
                <w:color w:val="000000"/>
              </w:rPr>
            </w:pPr>
            <w:r>
              <w:rPr>
                <w:rFonts w:hint="eastAsia"/>
                <w:color w:val="000000"/>
              </w:rPr>
              <w:t>0.591</w:t>
            </w:r>
          </w:p>
        </w:tc>
        <w:tc>
          <w:tcPr>
            <w:tcW w:w="1010" w:type="dxa"/>
            <w:vAlign w:val="center"/>
          </w:tcPr>
          <w:p>
            <w:pPr>
              <w:spacing w:line="360" w:lineRule="auto"/>
              <w:jc w:val="center"/>
              <w:rPr>
                <w:color w:val="000000"/>
              </w:rPr>
            </w:pPr>
            <w:r>
              <w:rPr>
                <w:rFonts w:hint="eastAsia"/>
                <w:color w:val="000000"/>
              </w:rPr>
              <w:t>0.566</w:t>
            </w:r>
          </w:p>
        </w:tc>
        <w:tc>
          <w:tcPr>
            <w:tcW w:w="1010" w:type="dxa"/>
            <w:vAlign w:val="center"/>
          </w:tcPr>
          <w:p>
            <w:pPr>
              <w:spacing w:line="360" w:lineRule="auto"/>
              <w:jc w:val="center"/>
              <w:rPr>
                <w:color w:val="000000"/>
              </w:rPr>
            </w:pPr>
            <w:r>
              <w:rPr>
                <w:rFonts w:hint="eastAsia"/>
                <w:color w:val="000000"/>
              </w:rPr>
              <w:t>0.560</w:t>
            </w:r>
          </w:p>
        </w:tc>
        <w:tc>
          <w:tcPr>
            <w:tcW w:w="1036" w:type="dxa"/>
            <w:vAlign w:val="center"/>
          </w:tcPr>
          <w:p>
            <w:pPr>
              <w:spacing w:line="360" w:lineRule="auto"/>
              <w:jc w:val="center"/>
              <w:rPr>
                <w:color w:val="000000"/>
              </w:rPr>
            </w:pPr>
            <w:r>
              <w:rPr>
                <w:rFonts w:hint="eastAsia"/>
                <w:color w:val="000000"/>
              </w:rPr>
              <w:t>0.572</w:t>
            </w:r>
          </w:p>
        </w:tc>
        <w:tc>
          <w:tcPr>
            <w:tcW w:w="1036" w:type="dxa"/>
            <w:vAlign w:val="center"/>
          </w:tcPr>
          <w:p>
            <w:pPr>
              <w:spacing w:line="360" w:lineRule="auto"/>
              <w:jc w:val="center"/>
              <w:rPr>
                <w:color w:val="000000"/>
              </w:rPr>
            </w:pPr>
            <w:r>
              <w:rPr>
                <w:rFonts w:hint="eastAsia"/>
                <w:color w:val="000000"/>
              </w:rPr>
              <w:t>300/3</w:t>
            </w:r>
          </w:p>
        </w:tc>
        <w:tc>
          <w:tcPr>
            <w:tcW w:w="1323" w:type="dxa"/>
            <w:vAlign w:val="center"/>
          </w:tcPr>
          <w:p>
            <w:pPr>
              <w:spacing w:line="360" w:lineRule="auto"/>
              <w:jc w:val="center"/>
              <w:rPr>
                <w:color w:val="000000"/>
              </w:rPr>
            </w:pPr>
            <w:r>
              <w:rPr>
                <w:rFonts w:hint="eastAsia"/>
                <w:color w:val="000000"/>
              </w:rPr>
              <w:t>3.504</w:t>
            </w:r>
          </w:p>
        </w:tc>
        <w:tc>
          <w:tcPr>
            <w:tcW w:w="1084" w:type="dxa"/>
            <w:vAlign w:val="center"/>
          </w:tcPr>
          <w:p>
            <w:pPr>
              <w:spacing w:line="360" w:lineRule="auto"/>
              <w:jc w:val="center"/>
              <w:rPr>
                <w:color w:val="000000"/>
              </w:rPr>
            </w:pPr>
            <w:r>
              <w:rPr>
                <w:rFonts w:hint="eastAsia"/>
                <w:color w:val="000000"/>
              </w:rPr>
              <w:t>/</w:t>
            </w:r>
          </w:p>
        </w:tc>
      </w:tr>
    </w:tbl>
    <w:p>
      <w:pPr>
        <w:ind w:hanging="300"/>
        <w:rPr>
          <w:rFonts w:hint="eastAsia" w:ascii="华文中宋" w:hAnsi="华文中宋" w:eastAsia="华文中宋" w:cs="华文中宋"/>
          <w:color w:val="000000"/>
          <w:sz w:val="24"/>
          <w:szCs w:val="24"/>
        </w:rPr>
      </w:pPr>
    </w:p>
    <w:sectPr>
      <w:pgSz w:w="11907" w:h="16840"/>
      <w:pgMar w:top="1418" w:right="1191" w:bottom="1418" w:left="1089"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13"/>
      </w:rPr>
    </w:pPr>
    <w:r>
      <w:fldChar w:fldCharType="begin"/>
    </w:r>
    <w:r>
      <w:rPr>
        <w:rStyle w:val="13"/>
      </w:rPr>
      <w:instrText xml:space="preserve">PAGE  </w:instrText>
    </w:r>
    <w:r>
      <w:fldChar w:fldCharType="separate"/>
    </w:r>
    <w:r>
      <w:rPr>
        <w:rStyle w:val="13"/>
      </w:rPr>
      <w:t>4</w:t>
    </w:r>
    <w:r>
      <w:fldChar w:fldCharType="end"/>
    </w:r>
  </w:p>
  <w:p>
    <w:pPr>
      <w:pStyle w:val="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7"/>
        <w:snapToGrid w:val="0"/>
        <w:rPr>
          <w:rFonts w:hint="eastAsia" w:eastAsia="宋体"/>
          <w:lang w:val="en-US" w:eastAsia="zh-CN"/>
        </w:rPr>
      </w:pPr>
      <w:r>
        <w:rPr>
          <w:rStyle w:val="12"/>
        </w:rPr>
        <w:footnoteRef/>
      </w:r>
      <w:r>
        <w:t xml:space="preserve"> </w:t>
      </w:r>
      <w:r>
        <w:rPr>
          <w:rFonts w:hint="eastAsia"/>
          <w:lang w:val="en-US" w:eastAsia="zh-CN"/>
        </w:rPr>
        <w:t>数据来源：韦广辉-《铁皮石斛多糖的研究进展》</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2E0A027"/>
    <w:multiLevelType w:val="singleLevel"/>
    <w:tmpl w:val="F2E0A027"/>
    <w:lvl w:ilvl="0" w:tentative="0">
      <w:start w:val="2"/>
      <w:numFmt w:val="chineseCounting"/>
      <w:suff w:val="nothing"/>
      <w:lvlText w:val="%1、"/>
      <w:lvlJc w:val="left"/>
      <w:rPr>
        <w:rFonts w:hint="eastAsia"/>
      </w:rPr>
    </w:lvl>
  </w:abstractNum>
  <w:abstractNum w:abstractNumId="1">
    <w:nsid w:val="00000003"/>
    <w:multiLevelType w:val="multilevel"/>
    <w:tmpl w:val="00000003"/>
    <w:lvl w:ilvl="0" w:tentative="0">
      <w:start w:val="1"/>
      <w:numFmt w:val="upperLetter"/>
      <w:suff w:val="nothing"/>
      <w:lvlText w:val="附　录　%1"/>
      <w:lvlJc w:val="left"/>
      <w:pPr>
        <w:ind w:left="0" w:firstLine="0"/>
      </w:pPr>
      <w:rPr>
        <w:rFonts w:ascii="Times New Roman" w:hAnsi="Times New Roman" w:cs="Times New Roman"/>
        <w:b w:val="0"/>
        <w:bCs w:val="0"/>
        <w:i w:val="0"/>
        <w:iCs w:val="0"/>
        <w:caps w:val="0"/>
        <w:smallCaps w:val="0"/>
        <w:strike w:val="0"/>
        <w:dstrike w:val="0"/>
        <w:vanish w:val="0"/>
        <w:spacing w:val="0"/>
        <w:position w:val="0"/>
        <w:u w:val="none"/>
        <w:vertAlign w:val="baseline"/>
      </w:rPr>
    </w:lvl>
    <w:lvl w:ilvl="1" w:tentative="0">
      <w:start w:val="1"/>
      <w:numFmt w:val="decimal"/>
      <w:pStyle w:val="18"/>
      <w:suff w:val="nothing"/>
      <w:lvlText w:val="%1.%2　"/>
      <w:lvlJc w:val="left"/>
      <w:pPr>
        <w:ind w:left="0" w:firstLine="0"/>
      </w:pPr>
      <w:rPr>
        <w:rFonts w:ascii="Times New Roman" w:hAnsi="Times New Roman" w:cs="Times New Roman"/>
        <w:b w:val="0"/>
        <w:bCs w:val="0"/>
        <w:i w:val="0"/>
        <w:iCs w:val="0"/>
        <w:caps w:val="0"/>
        <w:smallCaps w:val="0"/>
        <w:strike w:val="0"/>
        <w:dstrike w:val="0"/>
        <w:vanish w:val="0"/>
        <w:spacing w:val="0"/>
        <w:position w:val="0"/>
        <w:u w:val="none"/>
        <w:vertAlign w:val="baseline"/>
      </w:rPr>
    </w:lvl>
    <w:lvl w:ilvl="2" w:tentative="0">
      <w:start w:val="1"/>
      <w:numFmt w:val="decimal"/>
      <w:pStyle w:val="19"/>
      <w:suff w:val="nothing"/>
      <w:lvlText w:val="%1.%2.%3　"/>
      <w:lvlJc w:val="left"/>
      <w:pPr>
        <w:ind w:left="284" w:firstLine="0"/>
      </w:pPr>
      <w:rPr>
        <w:rFonts w:ascii="黑体" w:hAnsi="黑体" w:eastAsia="黑体" w:cs="Times New Roman"/>
        <w:b w:val="0"/>
        <w:bCs w:val="0"/>
        <w:i w:val="0"/>
        <w:iCs w:val="0"/>
        <w:caps w:val="0"/>
        <w:smallCaps w:val="0"/>
        <w:strike w:val="0"/>
        <w:dstrike w:val="0"/>
        <w:vanish w:val="0"/>
        <w:color w:val="auto"/>
        <w:spacing w:val="0"/>
        <w:w w:val="100"/>
        <w:kern w:val="2"/>
        <w:position w:val="0"/>
        <w:sz w:val="21"/>
        <w:u w:val="none"/>
        <w:shd w:val="clear" w:color="auto" w:fill="auto"/>
        <w:vertAlign w:val="baseline"/>
        <w:lang w:val="en-US" w:eastAsia="zh-CN"/>
      </w:rPr>
    </w:lvl>
    <w:lvl w:ilvl="3" w:tentative="0">
      <w:start w:val="1"/>
      <w:numFmt w:val="decimal"/>
      <w:pStyle w:val="20"/>
      <w:suff w:val="nothing"/>
      <w:lvlText w:val="%1.%2.%3.%4　"/>
      <w:lvlJc w:val="left"/>
      <w:pPr>
        <w:ind w:left="710" w:firstLine="0"/>
      </w:pPr>
      <w:rPr>
        <w:rFonts w:hint="eastAsia" w:ascii="黑体" w:hAnsi="Times New Roman" w:eastAsia="黑体"/>
        <w:b w:val="0"/>
        <w:i w:val="0"/>
        <w:color w:val="auto"/>
        <w:sz w:val="21"/>
      </w:rPr>
    </w:lvl>
    <w:lvl w:ilvl="4" w:tentative="0">
      <w:start w:val="1"/>
      <w:numFmt w:val="decimal"/>
      <w:pStyle w:val="21"/>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
    <w:nsid w:val="1FC91163"/>
    <w:multiLevelType w:val="multilevel"/>
    <w:tmpl w:val="1FC91163"/>
    <w:lvl w:ilvl="0" w:tentative="0">
      <w:start w:val="1"/>
      <w:numFmt w:val="decimal"/>
      <w:pStyle w:val="28"/>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9"/>
      <w:suff w:val="nothing"/>
      <w:lvlText w:val="%1.%2　"/>
      <w:lvlJc w:val="left"/>
      <w:pPr>
        <w:ind w:left="142"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31"/>
      <w:suff w:val="nothing"/>
      <w:lvlText w:val="%1.%2.%3　"/>
      <w:lvlJc w:val="left"/>
      <w:pPr>
        <w:ind w:left="525" w:firstLine="0"/>
      </w:pPr>
      <w:rPr>
        <w:rFonts w:hint="eastAsia" w:ascii="黑体" w:hAnsi="Times New Roman" w:eastAsia="黑体"/>
        <w:b w:val="0"/>
        <w:i w:val="0"/>
        <w:sz w:val="21"/>
      </w:rPr>
    </w:lvl>
    <w:lvl w:ilvl="3" w:tentative="0">
      <w:start w:val="1"/>
      <w:numFmt w:val="decimal"/>
      <w:pStyle w:val="30"/>
      <w:suff w:val="nothing"/>
      <w:lvlText w:val="%1.%2.%3.%4　"/>
      <w:lvlJc w:val="left"/>
      <w:pPr>
        <w:ind w:left="709" w:firstLine="0"/>
      </w:pPr>
      <w:rPr>
        <w:rFonts w:hint="eastAsia" w:ascii="黑体" w:hAnsi="Times New Roman" w:eastAsia="黑体"/>
        <w:b w:val="0"/>
        <w:i w:val="0"/>
        <w:sz w:val="21"/>
      </w:rPr>
    </w:lvl>
    <w:lvl w:ilvl="4" w:tentative="0">
      <w:start w:val="1"/>
      <w:numFmt w:val="decimal"/>
      <w:suff w:val="nothing"/>
      <w:lvlText w:val="%1.%2.%3.%4.%5　"/>
      <w:lvlJc w:val="left"/>
      <w:pPr>
        <w:ind w:left="84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92D"/>
    <w:rsid w:val="00005AA8"/>
    <w:rsid w:val="0002693B"/>
    <w:rsid w:val="00034626"/>
    <w:rsid w:val="0005711D"/>
    <w:rsid w:val="000921CF"/>
    <w:rsid w:val="000B2F70"/>
    <w:rsid w:val="000E4C73"/>
    <w:rsid w:val="000E6643"/>
    <w:rsid w:val="00133E27"/>
    <w:rsid w:val="001350A5"/>
    <w:rsid w:val="00154D63"/>
    <w:rsid w:val="001555C1"/>
    <w:rsid w:val="0016333C"/>
    <w:rsid w:val="00166C17"/>
    <w:rsid w:val="00171F13"/>
    <w:rsid w:val="001811D7"/>
    <w:rsid w:val="00190F43"/>
    <w:rsid w:val="00196E51"/>
    <w:rsid w:val="001D6F14"/>
    <w:rsid w:val="001F36A1"/>
    <w:rsid w:val="001F4C40"/>
    <w:rsid w:val="001F50D2"/>
    <w:rsid w:val="001F696D"/>
    <w:rsid w:val="00205179"/>
    <w:rsid w:val="00211A2E"/>
    <w:rsid w:val="002252C4"/>
    <w:rsid w:val="00251EE5"/>
    <w:rsid w:val="002748F8"/>
    <w:rsid w:val="00336B47"/>
    <w:rsid w:val="00337415"/>
    <w:rsid w:val="003700BC"/>
    <w:rsid w:val="0038045E"/>
    <w:rsid w:val="00397E4A"/>
    <w:rsid w:val="003A1D73"/>
    <w:rsid w:val="003E44BB"/>
    <w:rsid w:val="003E7260"/>
    <w:rsid w:val="003F192D"/>
    <w:rsid w:val="003F5914"/>
    <w:rsid w:val="004108B9"/>
    <w:rsid w:val="004126C9"/>
    <w:rsid w:val="00423387"/>
    <w:rsid w:val="00434442"/>
    <w:rsid w:val="004514D0"/>
    <w:rsid w:val="00474357"/>
    <w:rsid w:val="00476BEF"/>
    <w:rsid w:val="00481E56"/>
    <w:rsid w:val="0048465E"/>
    <w:rsid w:val="004A5440"/>
    <w:rsid w:val="004B1ED9"/>
    <w:rsid w:val="004C3EAF"/>
    <w:rsid w:val="004C4E76"/>
    <w:rsid w:val="004E3B56"/>
    <w:rsid w:val="004F1A01"/>
    <w:rsid w:val="00516927"/>
    <w:rsid w:val="00525774"/>
    <w:rsid w:val="00531098"/>
    <w:rsid w:val="00533858"/>
    <w:rsid w:val="0054212B"/>
    <w:rsid w:val="00545B02"/>
    <w:rsid w:val="00553823"/>
    <w:rsid w:val="00590214"/>
    <w:rsid w:val="0059064E"/>
    <w:rsid w:val="0059283F"/>
    <w:rsid w:val="005B000A"/>
    <w:rsid w:val="005C3DA0"/>
    <w:rsid w:val="005F7FC0"/>
    <w:rsid w:val="0063074D"/>
    <w:rsid w:val="006548A0"/>
    <w:rsid w:val="0069212A"/>
    <w:rsid w:val="00693144"/>
    <w:rsid w:val="006B374C"/>
    <w:rsid w:val="006C04CC"/>
    <w:rsid w:val="006C4E3F"/>
    <w:rsid w:val="006E75D7"/>
    <w:rsid w:val="00712A28"/>
    <w:rsid w:val="007243FA"/>
    <w:rsid w:val="0074211E"/>
    <w:rsid w:val="0078196C"/>
    <w:rsid w:val="007C0DC2"/>
    <w:rsid w:val="007C43A4"/>
    <w:rsid w:val="007C759B"/>
    <w:rsid w:val="007D655F"/>
    <w:rsid w:val="007F4422"/>
    <w:rsid w:val="00830967"/>
    <w:rsid w:val="008540FC"/>
    <w:rsid w:val="00871829"/>
    <w:rsid w:val="00891175"/>
    <w:rsid w:val="008931B5"/>
    <w:rsid w:val="008E6EBA"/>
    <w:rsid w:val="008F6FE1"/>
    <w:rsid w:val="00911006"/>
    <w:rsid w:val="00914A23"/>
    <w:rsid w:val="00930254"/>
    <w:rsid w:val="00936075"/>
    <w:rsid w:val="0098003B"/>
    <w:rsid w:val="009A4972"/>
    <w:rsid w:val="009B5D5F"/>
    <w:rsid w:val="009C48DA"/>
    <w:rsid w:val="009E0D12"/>
    <w:rsid w:val="00A34247"/>
    <w:rsid w:val="00A40F89"/>
    <w:rsid w:val="00A64FB0"/>
    <w:rsid w:val="00A67747"/>
    <w:rsid w:val="00A72BCC"/>
    <w:rsid w:val="00AC0E42"/>
    <w:rsid w:val="00B0184F"/>
    <w:rsid w:val="00B1458D"/>
    <w:rsid w:val="00B14D13"/>
    <w:rsid w:val="00B2666D"/>
    <w:rsid w:val="00B412D1"/>
    <w:rsid w:val="00B46258"/>
    <w:rsid w:val="00B466AD"/>
    <w:rsid w:val="00B516CF"/>
    <w:rsid w:val="00B52045"/>
    <w:rsid w:val="00B56CDB"/>
    <w:rsid w:val="00B67023"/>
    <w:rsid w:val="00B97679"/>
    <w:rsid w:val="00BA1731"/>
    <w:rsid w:val="00BC5185"/>
    <w:rsid w:val="00BD6BC8"/>
    <w:rsid w:val="00BE1777"/>
    <w:rsid w:val="00C12FC2"/>
    <w:rsid w:val="00C37032"/>
    <w:rsid w:val="00C5149E"/>
    <w:rsid w:val="00C5700E"/>
    <w:rsid w:val="00CA10DE"/>
    <w:rsid w:val="00CB0D83"/>
    <w:rsid w:val="00CB3606"/>
    <w:rsid w:val="00CE7EB1"/>
    <w:rsid w:val="00D13D2F"/>
    <w:rsid w:val="00D15188"/>
    <w:rsid w:val="00D34E56"/>
    <w:rsid w:val="00D41007"/>
    <w:rsid w:val="00D43E81"/>
    <w:rsid w:val="00D53952"/>
    <w:rsid w:val="00D6006C"/>
    <w:rsid w:val="00D8223A"/>
    <w:rsid w:val="00DC1783"/>
    <w:rsid w:val="00DF2E1B"/>
    <w:rsid w:val="00DF34E5"/>
    <w:rsid w:val="00DF70E5"/>
    <w:rsid w:val="00E06D8B"/>
    <w:rsid w:val="00E14BB1"/>
    <w:rsid w:val="00E30411"/>
    <w:rsid w:val="00E37A70"/>
    <w:rsid w:val="00E439F6"/>
    <w:rsid w:val="00E83E01"/>
    <w:rsid w:val="00EA28C9"/>
    <w:rsid w:val="00EB4527"/>
    <w:rsid w:val="00EB7DA9"/>
    <w:rsid w:val="00EC0AAF"/>
    <w:rsid w:val="00ED4196"/>
    <w:rsid w:val="00EE0D97"/>
    <w:rsid w:val="00EE276D"/>
    <w:rsid w:val="00EE63A4"/>
    <w:rsid w:val="00EE7792"/>
    <w:rsid w:val="00F024F3"/>
    <w:rsid w:val="00F40902"/>
    <w:rsid w:val="00F600A5"/>
    <w:rsid w:val="00F853CE"/>
    <w:rsid w:val="00F93547"/>
    <w:rsid w:val="00FB3305"/>
    <w:rsid w:val="00FD03FB"/>
    <w:rsid w:val="00FD0D0F"/>
    <w:rsid w:val="01B0034F"/>
    <w:rsid w:val="0D09332F"/>
    <w:rsid w:val="108D3B1B"/>
    <w:rsid w:val="13B1581E"/>
    <w:rsid w:val="1752279F"/>
    <w:rsid w:val="22CC7480"/>
    <w:rsid w:val="256E73FF"/>
    <w:rsid w:val="2C9B1474"/>
    <w:rsid w:val="3349411C"/>
    <w:rsid w:val="34D26E20"/>
    <w:rsid w:val="55E22B38"/>
    <w:rsid w:val="56F84154"/>
    <w:rsid w:val="5C12535D"/>
    <w:rsid w:val="5C741BBE"/>
    <w:rsid w:val="5D202109"/>
    <w:rsid w:val="5D650EBB"/>
    <w:rsid w:val="63FC3281"/>
    <w:rsid w:val="6D2C12AB"/>
    <w:rsid w:val="70C32B49"/>
    <w:rsid w:val="77370192"/>
    <w:rsid w:val="7B226904"/>
    <w:rsid w:val="7ED23AA1"/>
    <w:rsid w:val="7F442B7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uto"/>
      <w:jc w:val="both"/>
      <w:textAlignment w:val="baseline"/>
    </w:pPr>
    <w:rPr>
      <w:rFonts w:ascii="Times New Roman" w:hAnsi="Times New Roman" w:eastAsia="宋体" w:cs="Times New Roman"/>
      <w:kern w:val="2"/>
      <w:sz w:val="21"/>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Date"/>
    <w:basedOn w:val="1"/>
    <w:next w:val="1"/>
    <w:link w:val="24"/>
    <w:semiHidden/>
    <w:unhideWhenUsed/>
    <w:qFormat/>
    <w:uiPriority w:val="99"/>
    <w:pPr>
      <w:ind w:left="100" w:leftChars="2500"/>
    </w:pPr>
  </w:style>
  <w:style w:type="paragraph" w:styleId="4">
    <w:name w:val="Balloon Text"/>
    <w:basedOn w:val="1"/>
    <w:link w:val="23"/>
    <w:semiHidden/>
    <w:unhideWhenUsed/>
    <w:qFormat/>
    <w:uiPriority w:val="99"/>
    <w:pPr>
      <w:spacing w:line="240" w:lineRule="auto"/>
    </w:pPr>
    <w:rPr>
      <w:sz w:val="18"/>
      <w:szCs w:val="18"/>
    </w:rPr>
  </w:style>
  <w:style w:type="paragraph" w:styleId="5">
    <w:name w:val="footer"/>
    <w:basedOn w:val="1"/>
    <w:link w:val="15"/>
    <w:qFormat/>
    <w:uiPriority w:val="0"/>
    <w:pPr>
      <w:tabs>
        <w:tab w:val="center" w:pos="4153"/>
        <w:tab w:val="right" w:pos="8306"/>
      </w:tabs>
      <w:snapToGrid w:val="0"/>
      <w:jc w:val="left"/>
    </w:pPr>
    <w:rPr>
      <w:sz w:val="18"/>
      <w:szCs w:val="18"/>
    </w:rPr>
  </w:style>
  <w:style w:type="paragraph" w:styleId="6">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7">
    <w:name w:val="footnote text"/>
    <w:basedOn w:val="1"/>
    <w:semiHidden/>
    <w:unhideWhenUsed/>
    <w:uiPriority w:val="99"/>
    <w:pPr>
      <w:snapToGrid w:val="0"/>
      <w:jc w:val="left"/>
    </w:pPr>
    <w:rPr>
      <w:sz w:val="18"/>
    </w:rPr>
  </w:style>
  <w:style w:type="paragraph" w:styleId="8">
    <w:name w:val="Normal (Web)"/>
    <w:basedOn w:val="1"/>
    <w:unhideWhenUsed/>
    <w:qFormat/>
    <w:uiPriority w:val="99"/>
    <w:pPr>
      <w:widowControl/>
      <w:adjustRightInd/>
      <w:spacing w:before="100" w:beforeAutospacing="1" w:after="100" w:afterAutospacing="1" w:line="240" w:lineRule="auto"/>
      <w:jc w:val="left"/>
      <w:textAlignment w:val="auto"/>
    </w:pPr>
    <w:rPr>
      <w:rFonts w:ascii="宋体" w:hAnsi="宋体" w:cs="宋体"/>
      <w:kern w:val="0"/>
      <w:sz w:val="24"/>
      <w:szCs w:val="24"/>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footnote reference"/>
    <w:basedOn w:val="11"/>
    <w:semiHidden/>
    <w:unhideWhenUsed/>
    <w:uiPriority w:val="99"/>
    <w:rPr>
      <w:vertAlign w:val="superscript"/>
    </w:rPr>
  </w:style>
  <w:style w:type="character" w:customStyle="1" w:styleId="13">
    <w:name w:val="页码1"/>
    <w:basedOn w:val="11"/>
    <w:qFormat/>
    <w:uiPriority w:val="0"/>
  </w:style>
  <w:style w:type="paragraph" w:customStyle="1" w:styleId="14">
    <w:name w:val="段"/>
    <w:qFormat/>
    <w:uiPriority w:val="0"/>
    <w:pPr>
      <w:autoSpaceDE w:val="0"/>
      <w:autoSpaceDN w:val="0"/>
      <w:spacing w:line="360" w:lineRule="auto"/>
      <w:ind w:firstLine="200" w:firstLineChars="200"/>
      <w:jc w:val="both"/>
    </w:pPr>
    <w:rPr>
      <w:rFonts w:ascii="宋体" w:hAnsi="Times New Roman" w:eastAsia="宋体" w:cs="Times New Roman"/>
      <w:sz w:val="21"/>
      <w:lang w:val="en-US" w:eastAsia="zh-CN" w:bidi="ar-SA"/>
    </w:rPr>
  </w:style>
  <w:style w:type="character" w:customStyle="1" w:styleId="15">
    <w:name w:val="页脚 字符"/>
    <w:basedOn w:val="11"/>
    <w:link w:val="5"/>
    <w:qFormat/>
    <w:uiPriority w:val="0"/>
    <w:rPr>
      <w:rFonts w:ascii="Times New Roman" w:hAnsi="Times New Roman" w:eastAsia="宋体" w:cs="Times New Roman"/>
      <w:sz w:val="18"/>
      <w:szCs w:val="18"/>
    </w:rPr>
  </w:style>
  <w:style w:type="character" w:customStyle="1" w:styleId="16">
    <w:name w:val="页眉 字符"/>
    <w:basedOn w:val="11"/>
    <w:link w:val="6"/>
    <w:qFormat/>
    <w:uiPriority w:val="0"/>
    <w:rPr>
      <w:rFonts w:ascii="Times New Roman" w:hAnsi="Times New Roman" w:eastAsia="宋体" w:cs="Times New Roman"/>
      <w:sz w:val="18"/>
      <w:szCs w:val="18"/>
    </w:rPr>
  </w:style>
  <w:style w:type="paragraph" w:styleId="17">
    <w:name w:val="List Paragraph"/>
    <w:basedOn w:val="1"/>
    <w:qFormat/>
    <w:uiPriority w:val="34"/>
    <w:pPr>
      <w:adjustRightInd/>
      <w:spacing w:line="240" w:lineRule="auto"/>
      <w:ind w:firstLine="420" w:firstLineChars="200"/>
      <w:textAlignment w:val="auto"/>
    </w:pPr>
    <w:rPr>
      <w:rFonts w:ascii="Calibri" w:hAnsi="Calibri"/>
      <w:szCs w:val="22"/>
    </w:rPr>
  </w:style>
  <w:style w:type="paragraph" w:customStyle="1" w:styleId="18">
    <w:name w:val="附录章标题"/>
    <w:next w:val="14"/>
    <w:qFormat/>
    <w:uiPriority w:val="0"/>
    <w:pPr>
      <w:numPr>
        <w:ilvl w:val="1"/>
        <w:numId w:val="1"/>
      </w:numPr>
      <w:wordWrap w:val="0"/>
      <w:overflowPunct w:val="0"/>
      <w:autoSpaceDE w:val="0"/>
      <w:spacing w:beforeLines="50" w:afterLines="50"/>
      <w:jc w:val="both"/>
      <w:textAlignment w:val="baseline"/>
      <w:outlineLvl w:val="1"/>
    </w:pPr>
    <w:rPr>
      <w:rFonts w:ascii="黑体" w:hAnsi="Times New Roman" w:eastAsia="黑体" w:cs="Times New Roman"/>
      <w:kern w:val="21"/>
      <w:sz w:val="21"/>
      <w:szCs w:val="22"/>
      <w:lang w:val="en-US" w:eastAsia="zh-CN" w:bidi="ar-SA"/>
    </w:rPr>
  </w:style>
  <w:style w:type="paragraph" w:customStyle="1" w:styleId="19">
    <w:name w:val="附录一级条标题"/>
    <w:basedOn w:val="18"/>
    <w:next w:val="14"/>
    <w:qFormat/>
    <w:uiPriority w:val="0"/>
    <w:pPr>
      <w:numPr>
        <w:ilvl w:val="2"/>
      </w:numPr>
      <w:autoSpaceDN w:val="0"/>
      <w:outlineLvl w:val="2"/>
    </w:pPr>
  </w:style>
  <w:style w:type="paragraph" w:customStyle="1" w:styleId="20">
    <w:name w:val="附录二级条标题"/>
    <w:basedOn w:val="19"/>
    <w:next w:val="14"/>
    <w:qFormat/>
    <w:uiPriority w:val="0"/>
    <w:pPr>
      <w:numPr>
        <w:ilvl w:val="3"/>
      </w:numPr>
      <w:outlineLvl w:val="3"/>
    </w:pPr>
  </w:style>
  <w:style w:type="paragraph" w:customStyle="1" w:styleId="21">
    <w:name w:val="附录三级条标题"/>
    <w:basedOn w:val="20"/>
    <w:next w:val="14"/>
    <w:qFormat/>
    <w:uiPriority w:val="0"/>
    <w:pPr>
      <w:numPr>
        <w:ilvl w:val="4"/>
      </w:numPr>
      <w:outlineLvl w:val="4"/>
    </w:pPr>
  </w:style>
  <w:style w:type="paragraph" w:customStyle="1" w:styleId="22">
    <w:name w:val="正文公式编号制表符"/>
    <w:basedOn w:val="14"/>
    <w:next w:val="14"/>
    <w:qFormat/>
    <w:uiPriority w:val="0"/>
    <w:pPr>
      <w:spacing w:line="240" w:lineRule="auto"/>
      <w:ind w:firstLine="0" w:firstLineChars="0"/>
    </w:pPr>
    <w:rPr>
      <w:rFonts w:hAnsi="宋体" w:cs="宋体"/>
      <w:szCs w:val="21"/>
    </w:rPr>
  </w:style>
  <w:style w:type="character" w:customStyle="1" w:styleId="23">
    <w:name w:val="批注框文本 字符"/>
    <w:basedOn w:val="11"/>
    <w:link w:val="4"/>
    <w:semiHidden/>
    <w:qFormat/>
    <w:uiPriority w:val="99"/>
    <w:rPr>
      <w:rFonts w:ascii="Times New Roman" w:hAnsi="Times New Roman" w:eastAsia="宋体" w:cs="Times New Roman"/>
      <w:sz w:val="18"/>
      <w:szCs w:val="18"/>
    </w:rPr>
  </w:style>
  <w:style w:type="character" w:customStyle="1" w:styleId="24">
    <w:name w:val="日期 字符"/>
    <w:basedOn w:val="11"/>
    <w:link w:val="3"/>
    <w:semiHidden/>
    <w:qFormat/>
    <w:uiPriority w:val="99"/>
    <w:rPr>
      <w:rFonts w:ascii="Times New Roman" w:hAnsi="Times New Roman" w:eastAsia="宋体" w:cs="Times New Roman"/>
      <w:szCs w:val="20"/>
    </w:rPr>
  </w:style>
  <w:style w:type="character" w:styleId="25">
    <w:name w:val="Placeholder Text"/>
    <w:basedOn w:val="11"/>
    <w:semiHidden/>
    <w:qFormat/>
    <w:uiPriority w:val="99"/>
    <w:rPr>
      <w:color w:val="808080"/>
    </w:rPr>
  </w:style>
  <w:style w:type="paragraph" w:customStyle="1" w:styleId="26">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7">
    <w:name w:val="Default"/>
    <w:qFormat/>
    <w:uiPriority w:val="0"/>
    <w:pPr>
      <w:widowControl w:val="0"/>
      <w:autoSpaceDE w:val="0"/>
      <w:autoSpaceDN w:val="0"/>
      <w:adjustRightInd w:val="0"/>
    </w:pPr>
    <w:rPr>
      <w:rFonts w:ascii="Times New Roman" w:hAnsi="Times New Roman" w:cs="Times New Roman" w:eastAsiaTheme="minorEastAsia"/>
      <w:color w:val="000000"/>
      <w:sz w:val="24"/>
      <w:szCs w:val="24"/>
      <w:lang w:val="en-US" w:eastAsia="zh-CN" w:bidi="ar-SA"/>
    </w:rPr>
  </w:style>
  <w:style w:type="paragraph" w:customStyle="1" w:styleId="28">
    <w:name w:val="章标题"/>
    <w:next w:val="14"/>
    <w:qFormat/>
    <w:uiPriority w:val="0"/>
    <w:pPr>
      <w:numPr>
        <w:ilvl w:val="0"/>
        <w:numId w:val="2"/>
      </w:numPr>
      <w:spacing w:before="312" w:beforeLines="100" w:after="312" w:afterLines="100"/>
      <w:jc w:val="both"/>
      <w:outlineLvl w:val="1"/>
    </w:pPr>
    <w:rPr>
      <w:rFonts w:ascii="黑体" w:hAnsi="Calibri" w:eastAsia="黑体" w:cs="Times New Roman"/>
      <w:sz w:val="21"/>
      <w:lang w:val="en-US" w:eastAsia="zh-CN" w:bidi="ar-SA"/>
    </w:rPr>
  </w:style>
  <w:style w:type="paragraph" w:customStyle="1" w:styleId="29">
    <w:name w:val="一级条标题"/>
    <w:next w:val="14"/>
    <w:qFormat/>
    <w:uiPriority w:val="0"/>
    <w:pPr>
      <w:numPr>
        <w:ilvl w:val="1"/>
        <w:numId w:val="2"/>
      </w:numPr>
      <w:spacing w:before="156" w:beforeLines="50" w:after="156" w:afterLines="50"/>
      <w:outlineLvl w:val="2"/>
    </w:pPr>
    <w:rPr>
      <w:rFonts w:ascii="黑体" w:hAnsi="Calibri" w:eastAsia="黑体" w:cs="Times New Roman"/>
      <w:sz w:val="21"/>
      <w:szCs w:val="21"/>
      <w:lang w:val="en-US" w:eastAsia="zh-CN" w:bidi="ar-SA"/>
    </w:rPr>
  </w:style>
  <w:style w:type="paragraph" w:customStyle="1" w:styleId="30">
    <w:name w:val="三级条标题"/>
    <w:basedOn w:val="31"/>
    <w:next w:val="14"/>
    <w:qFormat/>
    <w:uiPriority w:val="0"/>
    <w:pPr>
      <w:numPr>
        <w:ilvl w:val="3"/>
      </w:numPr>
      <w:outlineLvl w:val="4"/>
    </w:pPr>
  </w:style>
  <w:style w:type="paragraph" w:customStyle="1" w:styleId="31">
    <w:name w:val="二级条标题"/>
    <w:basedOn w:val="29"/>
    <w:next w:val="14"/>
    <w:qFormat/>
    <w:uiPriority w:val="0"/>
    <w:pPr>
      <w:numPr>
        <w:ilvl w:val="2"/>
      </w:numPr>
      <w:spacing w:before="50" w:after="50"/>
      <w:outlineLvl w:val="3"/>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chart" Target="charts/chart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192.168.1.170\&#36136;&#37327;&#37096;&#20869;&#37096;&#25991;&#20214;\03&#26631;&#26354;&#21644;&#23450;&#37327;\&#27963;&#24615;&#25104;&#20998;\TU-1810&#65288;&#31934;&#23494;&#20202;&#22120;&#20998;&#26512;&#23460;&#65289;\&#26631;&#26354;\&#24635;&#31958;&#26631;&#26354;TU-181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spPr>
            <a:ln w="28575" cap="rnd" cmpd="sng" algn="ctr">
              <a:noFill/>
              <a:prstDash val="solid"/>
              <a:round/>
            </a:ln>
          </c:spPr>
          <c:dLbls>
            <c:delete val="1"/>
          </c:dLbls>
          <c:trendline>
            <c:trendlineType val="linear"/>
            <c:dispRSqr val="1"/>
            <c:dispEq val="1"/>
            <c:trendlineLbl>
              <c:layout/>
              <c:numFmt formatCode="General" sourceLinked="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trendlineLbl>
          </c:trendline>
          <c:xVal>
            <c:numRef>
              <c:f>'20190829'!$K$48:$K$53</c:f>
              <c:numCache>
                <c:formatCode>0.000_ </c:formatCode>
                <c:ptCount val="6"/>
                <c:pt idx="0">
                  <c:v>0.174</c:v>
                </c:pt>
                <c:pt idx="1">
                  <c:v>0.339666666666667</c:v>
                </c:pt>
                <c:pt idx="2">
                  <c:v>0.504333333333333</c:v>
                </c:pt>
                <c:pt idx="3">
                  <c:v>0.666333333333333</c:v>
                </c:pt>
                <c:pt idx="4">
                  <c:v>0.824</c:v>
                </c:pt>
                <c:pt idx="5">
                  <c:v>0.969666666666667</c:v>
                </c:pt>
              </c:numCache>
            </c:numRef>
          </c:xVal>
          <c:yVal>
            <c:numRef>
              <c:f>'20190829'!$L$48:$L$53</c:f>
              <c:numCache>
                <c:formatCode>0.0000</c:formatCode>
                <c:ptCount val="6"/>
                <c:pt idx="0">
                  <c:v>0.01016</c:v>
                </c:pt>
                <c:pt idx="1">
                  <c:v>0.02032</c:v>
                </c:pt>
                <c:pt idx="2">
                  <c:v>0.03048</c:v>
                </c:pt>
                <c:pt idx="3">
                  <c:v>0.04064</c:v>
                </c:pt>
                <c:pt idx="4">
                  <c:v>0.0508</c:v>
                </c:pt>
                <c:pt idx="5">
                  <c:v>0.06096</c:v>
                </c:pt>
              </c:numCache>
            </c:numRef>
          </c:yVal>
          <c:smooth val="0"/>
        </c:ser>
        <c:dLbls>
          <c:showLegendKey val="0"/>
          <c:showVal val="0"/>
          <c:showCatName val="0"/>
          <c:showSerName val="0"/>
          <c:showPercent val="0"/>
          <c:showBubbleSize val="0"/>
        </c:dLbls>
        <c:axId val="122813056"/>
        <c:axId val="128992000"/>
      </c:scatterChart>
      <c:valAx>
        <c:axId val="122813056"/>
        <c:scaling>
          <c:orientation val="minMax"/>
        </c:scaling>
        <c:delete val="0"/>
        <c:axPos val="b"/>
        <c:numFmt formatCode="0.000_ "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28992000"/>
        <c:crosses val="autoZero"/>
        <c:crossBetween val="midCat"/>
      </c:valAx>
      <c:valAx>
        <c:axId val="128992000"/>
        <c:scaling>
          <c:orientation val="minMax"/>
        </c:scaling>
        <c:delete val="0"/>
        <c:axPos val="l"/>
        <c:majorGridlines/>
        <c:numFmt formatCode="0.00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22813056"/>
        <c:crosses val="autoZero"/>
        <c:crossBetween val="midCat"/>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Pages>
  <Words>412</Words>
  <Characters>2354</Characters>
  <Lines>19</Lines>
  <Paragraphs>5</Paragraphs>
  <TotalTime>17</TotalTime>
  <ScaleCrop>false</ScaleCrop>
  <LinksUpToDate>false</LinksUpToDate>
  <CharactersWithSpaces>2761</CharactersWithSpaces>
  <Application>WPS Office_11.1.0.9341_F1E327BC-269C-435d-A152-05C5408002CA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2020-03-09T13:01:00Z</dcterms:created>
  <dc:creator>dreamsummit</dc:creator>
  <cp:lastModifiedBy>张鹏</cp:lastModifiedBy>
  <dcterms:modified xsi:type="dcterms:W3CDTF">2020-04-30T01:36:35Z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2052-11.1.0.9341</vt:lpwstr>
  </property>
</Properties>
</file>